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Arial" w:hAnsi="Arial" w:eastAsia="Times New Roman" w:cs="Arial"/>
          <w:b/>
          <w:szCs w:val="24"/>
          <w:lang w:eastAsia="hi-IN" w:bidi="hi-IN"/>
        </w:rPr>
      </w:pPr>
      <w:bookmarkStart w:id="0" w:name="_GoBack"/>
      <w:bookmarkEnd w:id="0"/>
    </w:p>
    <w:p>
      <w:pPr>
        <w:suppressAutoHyphens/>
        <w:spacing w:after="0" w:line="240" w:lineRule="auto"/>
        <w:jc w:val="center"/>
        <w:rPr>
          <w:rFonts w:ascii="Arial" w:hAnsi="Arial" w:eastAsia="Times New Roman" w:cs="Arial"/>
          <w:b/>
          <w:szCs w:val="24"/>
          <w:lang w:eastAsia="hi-IN" w:bidi="hi-IN"/>
        </w:rPr>
      </w:pPr>
    </w:p>
    <w:p>
      <w:pPr>
        <w:suppressAutoHyphens/>
        <w:spacing w:after="0" w:line="240" w:lineRule="auto"/>
        <w:jc w:val="center"/>
        <w:rPr>
          <w:rFonts w:ascii="Arial" w:hAnsi="Arial" w:eastAsia="Times New Roman" w:cs="Arial"/>
          <w:b/>
          <w:szCs w:val="24"/>
          <w:lang w:eastAsia="hi-IN" w:bidi="hi-IN"/>
        </w:rPr>
      </w:pPr>
      <w:r>
        <w:rPr>
          <w:rFonts w:ascii="Arial" w:hAnsi="Arial" w:eastAsia="Times New Roman" w:cs="Arial"/>
          <w:b/>
          <w:szCs w:val="24"/>
          <w:lang w:eastAsia="hi-IN" w:bidi="hi-IN"/>
        </w:rPr>
        <w:t>PLIEGO DEL PROCEDIMIENTO DE CONTRATACIÓN DE OBRAS PARA PAVIMENTO FLEXIBLE, CORRESPONDIENTE AL GRUPO 5</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r>
        <w:rPr>
          <w:rFonts w:ascii="Arial" w:hAnsi="Arial" w:eastAsia="Times New Roman" w:cs="Arial"/>
          <w:szCs w:val="20"/>
          <w:lang w:eastAsia="hi-IN" w:bidi="hi-IN"/>
        </w:rPr>
        <w:t>PROGRAMA  BARRIO PARA MEJOR VIVIR FASE II</w:t>
      </w:r>
    </w:p>
    <w:p>
      <w:pPr>
        <w:tabs>
          <w:tab w:val="left" w:pos="7830"/>
        </w:tabs>
        <w:suppressAutoHyphens/>
        <w:spacing w:after="0" w:line="240" w:lineRule="auto"/>
        <w:rPr>
          <w:rFonts w:ascii="Arial" w:hAnsi="Arial" w:eastAsia="Times New Roman" w:cs="Arial"/>
          <w:szCs w:val="20"/>
          <w:lang w:eastAsia="hi-IN" w:bidi="hi-IN"/>
        </w:rPr>
      </w:pPr>
      <w:r>
        <w:rPr>
          <w:rFonts w:ascii="Arial" w:hAnsi="Arial" w:eastAsia="Times New Roman" w:cs="Arial"/>
          <w:szCs w:val="20"/>
          <w:lang w:eastAsia="hi-IN" w:bidi="hi-IN"/>
        </w:rPr>
        <w:tab/>
      </w:r>
    </w:p>
    <w:p>
      <w:pPr>
        <w:keepNext/>
        <w:keepLines/>
        <w:suppressAutoHyphens/>
        <w:spacing w:after="0" w:line="240" w:lineRule="auto"/>
        <w:jc w:val="center"/>
        <w:outlineLvl w:val="7"/>
        <w:rPr>
          <w:rFonts w:ascii="Arial" w:hAnsi="Arial" w:eastAsia="Times New Roman" w:cs="Arial"/>
          <w:b/>
          <w:i/>
          <w:sz w:val="28"/>
          <w:szCs w:val="32"/>
          <w:lang w:eastAsia="hi-IN"/>
        </w:rPr>
      </w:pPr>
      <w:r>
        <w:rPr>
          <w:rFonts w:ascii="Arial" w:hAnsi="Arial" w:eastAsia="Times New Roman" w:cs="Arial"/>
          <w:b/>
          <w:i/>
          <w:sz w:val="28"/>
          <w:szCs w:val="32"/>
          <w:lang w:eastAsia="hi-IN"/>
        </w:rPr>
        <w:t>GOBIERNO AUTÓNOMO DESCENTRALIZADO</w:t>
      </w:r>
    </w:p>
    <w:p>
      <w:pPr>
        <w:keepNext/>
        <w:keepLines/>
        <w:suppressAutoHyphens/>
        <w:spacing w:after="0" w:line="240" w:lineRule="auto"/>
        <w:jc w:val="center"/>
        <w:outlineLvl w:val="7"/>
        <w:rPr>
          <w:rFonts w:ascii="Arial" w:hAnsi="Arial" w:eastAsia="Times New Roman" w:cs="Arial"/>
          <w:b/>
          <w:i/>
          <w:sz w:val="28"/>
          <w:szCs w:val="32"/>
          <w:lang w:eastAsia="hi-IN"/>
        </w:rPr>
      </w:pPr>
      <w:r>
        <w:rPr>
          <w:rFonts w:ascii="Arial" w:hAnsi="Arial" w:eastAsia="Times New Roman" w:cs="Arial"/>
          <w:b/>
          <w:i/>
          <w:sz w:val="28"/>
          <w:szCs w:val="32"/>
          <w:lang w:eastAsia="hi-IN"/>
        </w:rPr>
        <w:t xml:space="preserve"> MUNICIPAL DEL CANTÓN CUENCA</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szCs w:val="20"/>
          <w:lang w:eastAsia="hi-IN" w:bidi="hi-IN"/>
        </w:rPr>
      </w:pP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4"/>
          <w:szCs w:val="28"/>
        </w:rPr>
      </w:pPr>
      <w:r>
        <w:rPr>
          <w:rFonts w:ascii="Arial" w:hAnsi="Arial" w:eastAsia="Calibri" w:cs="Arial"/>
          <w:b/>
          <w:snapToGrid w:val="0"/>
          <w:sz w:val="24"/>
          <w:szCs w:val="28"/>
        </w:rPr>
        <w:t>Objeto de la Contratación:</w:t>
      </w:r>
    </w:p>
    <w:p>
      <w:pPr>
        <w:widowControl w:val="0"/>
        <w:snapToGrid w:val="0"/>
        <w:spacing w:after="0" w:line="240" w:lineRule="auto"/>
        <w:jc w:val="center"/>
        <w:rPr>
          <w:rFonts w:ascii="Arial" w:hAnsi="Arial" w:eastAsia="Calibri" w:cs="Arial"/>
          <w:b/>
          <w:snapToGrid w:val="0"/>
          <w:sz w:val="20"/>
          <w:szCs w:val="20"/>
        </w:rPr>
      </w:pPr>
    </w:p>
    <w:p>
      <w:pPr>
        <w:widowControl w:val="0"/>
        <w:snapToGrid w:val="0"/>
        <w:spacing w:after="0" w:line="240" w:lineRule="auto"/>
        <w:jc w:val="center"/>
        <w:rPr>
          <w:rFonts w:ascii="Arial" w:hAnsi="Arial" w:eastAsia="Calibri" w:cs="Arial"/>
          <w:b/>
          <w:snapToGrid w:val="0"/>
          <w:sz w:val="20"/>
          <w:szCs w:val="20"/>
        </w:rPr>
      </w:pPr>
    </w:p>
    <w:p>
      <w:pPr>
        <w:suppressAutoHyphens/>
        <w:spacing w:after="0" w:line="240" w:lineRule="auto"/>
        <w:jc w:val="center"/>
        <w:rPr>
          <w:rFonts w:ascii="Arial" w:hAnsi="Arial" w:eastAsia="Times New Roman" w:cs="Arial"/>
          <w:b/>
          <w:bCs/>
          <w:i/>
          <w:caps/>
          <w:sz w:val="24"/>
          <w:szCs w:val="28"/>
          <w:lang w:eastAsia="hi-IN" w:bidi="hi-IN"/>
        </w:rPr>
      </w:pPr>
      <w:r>
        <w:rPr>
          <w:rFonts w:ascii="Arial" w:hAnsi="Arial" w:eastAsia="Times New Roman" w:cs="Arial"/>
          <w:b/>
          <w:bCs/>
          <w:i/>
          <w:caps/>
          <w:sz w:val="24"/>
          <w:szCs w:val="28"/>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suppressAutoHyphens/>
        <w:spacing w:after="0" w:line="240" w:lineRule="auto"/>
        <w:jc w:val="center"/>
        <w:rPr>
          <w:rFonts w:ascii="Arial" w:hAnsi="Arial" w:eastAsia="Times New Roman" w:cs="Arial"/>
          <w:szCs w:val="20"/>
          <w:lang w:eastAsia="hi-IN" w:bidi="hi-IN"/>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GRUPO 5</w:t>
      </w:r>
    </w:p>
    <w:p>
      <w:pPr>
        <w:suppressAutoHyphens/>
        <w:spacing w:after="0" w:line="240" w:lineRule="auto"/>
        <w:rPr>
          <w:rFonts w:ascii="Arial" w:hAnsi="Arial" w:eastAsia="Times New Roman" w:cs="Arial"/>
          <w:szCs w:val="20"/>
          <w:lang w:eastAsia="hi-IN" w:bidi="hi-IN"/>
        </w:rPr>
      </w:pPr>
    </w:p>
    <w:p>
      <w:pPr>
        <w:suppressAutoHyphens/>
        <w:spacing w:after="0" w:line="240" w:lineRule="auto"/>
        <w:rPr>
          <w:rFonts w:ascii="Arial" w:hAnsi="Arial" w:eastAsia="Times New Roman" w:cs="Arial"/>
          <w:szCs w:val="20"/>
          <w:lang w:eastAsia="hi-IN" w:bidi="hi-IN"/>
        </w:rPr>
      </w:pPr>
    </w:p>
    <w:p>
      <w:pPr>
        <w:widowControl w:val="0"/>
        <w:suppressAutoHyphens/>
        <w:overflowPunct w:val="0"/>
        <w:autoSpaceDE w:val="0"/>
        <w:autoSpaceDN w:val="0"/>
        <w:adjustRightInd w:val="0"/>
        <w:spacing w:after="0" w:line="240" w:lineRule="auto"/>
        <w:jc w:val="center"/>
        <w:rPr>
          <w:rFonts w:ascii="Arial" w:hAnsi="Arial" w:eastAsia="Times New Roman" w:cs="Arial"/>
          <w:b/>
          <w:sz w:val="20"/>
          <w:lang w:val="es-ES" w:eastAsia="hi-IN" w:bidi="hi-IN"/>
        </w:rPr>
      </w:pPr>
    </w:p>
    <w:p>
      <w:pPr>
        <w:suppressAutoHyphens/>
        <w:spacing w:after="0" w:line="240" w:lineRule="auto"/>
        <w:jc w:val="center"/>
        <w:rPr>
          <w:rFonts w:ascii="Arial" w:hAnsi="Arial" w:eastAsia="Times New Roman" w:cs="Arial"/>
          <w:sz w:val="24"/>
          <w:szCs w:val="28"/>
          <w:lang w:eastAsia="hi-IN" w:bidi="hi-IN"/>
        </w:rPr>
      </w:pPr>
      <w:r>
        <w:rPr>
          <w:rFonts w:ascii="Arial" w:hAnsi="Arial" w:eastAsia="Times New Roman" w:cs="Arial"/>
          <w:sz w:val="24"/>
          <w:szCs w:val="28"/>
          <w:lang w:eastAsia="hi-IN" w:bidi="hi-IN"/>
        </w:rPr>
        <w:t xml:space="preserve">Cuenca a, </w:t>
      </w:r>
      <w:r>
        <w:rPr>
          <w:rFonts w:ascii="Arial" w:hAnsi="Arial" w:eastAsia="Times New Roman" w:cs="Arial"/>
          <w:sz w:val="24"/>
          <w:szCs w:val="28"/>
          <w:lang w:val="es-EC" w:eastAsia="hi-IN" w:bidi="hi-IN"/>
        </w:rPr>
        <w:t>febrero</w:t>
      </w:r>
      <w:r>
        <w:rPr>
          <w:rFonts w:ascii="Arial" w:hAnsi="Arial" w:eastAsia="Times New Roman" w:cs="Arial"/>
          <w:sz w:val="24"/>
          <w:szCs w:val="28"/>
          <w:lang w:eastAsia="hi-IN" w:bidi="hi-IN"/>
        </w:rPr>
        <w:t xml:space="preserve"> </w:t>
      </w:r>
      <w:r>
        <w:rPr>
          <w:rFonts w:ascii="Arial" w:hAnsi="Arial" w:eastAsia="Times New Roman" w:cs="Arial"/>
          <w:bCs/>
          <w:sz w:val="24"/>
          <w:szCs w:val="28"/>
          <w:lang w:eastAsia="hi-IN" w:bidi="hi-IN"/>
        </w:rPr>
        <w:t>de 2019</w:t>
      </w:r>
    </w:p>
    <w:p>
      <w:pPr>
        <w:spacing w:after="0" w:line="240" w:lineRule="auto"/>
        <w:jc w:val="both"/>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spacing w:after="0" w:line="240" w:lineRule="auto"/>
        <w:jc w:val="center"/>
        <w:rPr>
          <w:rFonts w:ascii="Arial" w:hAnsi="Arial" w:eastAsia="Times New Roman" w:cs="Arial"/>
          <w:sz w:val="24"/>
          <w:szCs w:val="28"/>
          <w:lang w:bidi="hi-IN"/>
        </w:rPr>
      </w:pPr>
    </w:p>
    <w:p>
      <w:pPr>
        <w:rPr>
          <w:rFonts w:ascii="Arial" w:hAnsi="Arial" w:eastAsia="Times New Roman" w:cs="Arial"/>
          <w:sz w:val="24"/>
          <w:szCs w:val="28"/>
          <w:lang w:bidi="hi-IN"/>
        </w:rPr>
      </w:pPr>
      <w:r>
        <w:rPr>
          <w:rFonts w:ascii="Arial" w:hAnsi="Arial" w:eastAsia="Times New Roman" w:cs="Arial"/>
          <w:sz w:val="24"/>
          <w:szCs w:val="28"/>
          <w:lang w:bidi="hi-IN"/>
        </w:rPr>
        <w:br w:type="page"/>
      </w:r>
    </w:p>
    <w:p>
      <w:pPr>
        <w:spacing w:after="0" w:line="240" w:lineRule="auto"/>
        <w:jc w:val="center"/>
        <w:rPr>
          <w:rFonts w:ascii="Arial" w:hAnsi="Arial" w:eastAsia="Times New Roman" w:cs="Arial"/>
          <w:sz w:val="24"/>
          <w:szCs w:val="28"/>
          <w:lang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Ex>
        <w:trPr>
          <w:jc w:val="center"/>
        </w:trPr>
        <w:tc>
          <w:tcPr>
            <w:tcW w:w="8644" w:type="dxa"/>
            <w:shd w:val="clear" w:color="auto" w:fill="F2F2F2"/>
          </w:tcPr>
          <w:p>
            <w:pPr>
              <w:suppressAutoHyphens/>
              <w:spacing w:after="0" w:line="240" w:lineRule="auto"/>
              <w:jc w:val="center"/>
              <w:rPr>
                <w:rFonts w:ascii="Arial" w:hAnsi="Arial" w:eastAsia="Times New Roman" w:cs="Arial"/>
                <w:sz w:val="32"/>
                <w:szCs w:val="32"/>
                <w:lang w:eastAsia="hi-IN" w:bidi="hi-IN"/>
              </w:rPr>
            </w:pPr>
            <w:r>
              <w:rPr>
                <w:rFonts w:ascii="Arial" w:hAnsi="Arial" w:eastAsia="Times New Roman" w:cs="Arial"/>
                <w:sz w:val="32"/>
                <w:szCs w:val="36"/>
                <w:lang w:eastAsia="hi-IN" w:bidi="hi-IN"/>
              </w:rPr>
              <w:t>PLIEGO PARA EL PROCEDIMIENTO DE CONTRATACIÓN DE OBRAS PARA PAVIMENTO FLEXIBLE, CORRESPONDIENTE AL GRUPO 5</w:t>
            </w:r>
          </w:p>
          <w:p>
            <w:pPr>
              <w:suppressAutoHyphens/>
              <w:spacing w:after="0" w:line="240" w:lineRule="auto"/>
              <w:jc w:val="center"/>
              <w:rPr>
                <w:rFonts w:ascii="Arial" w:hAnsi="Arial" w:eastAsia="Times New Roman" w:cs="Arial"/>
                <w:i/>
                <w:szCs w:val="20"/>
                <w:lang w:eastAsia="hi-IN" w:bidi="hi-IN"/>
              </w:rPr>
            </w:pPr>
          </w:p>
        </w:tc>
      </w:tr>
    </w:tbl>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El </w:t>
      </w:r>
      <w:r>
        <w:rPr>
          <w:rFonts w:ascii="Arial" w:hAnsi="Arial" w:eastAsia="Times New Roman" w:cs="Arial"/>
          <w:b/>
          <w:sz w:val="20"/>
          <w:lang w:eastAsia="hi-IN" w:bidi="hi-IN"/>
        </w:rPr>
        <w:t xml:space="preserve">PLIEGO </w:t>
      </w:r>
      <w:r>
        <w:rPr>
          <w:rFonts w:ascii="Arial" w:hAnsi="Arial" w:eastAsia="Times New Roman" w:cs="Arial"/>
          <w:sz w:val="20"/>
          <w:lang w:eastAsia="hi-IN" w:bidi="hi-IN"/>
        </w:rPr>
        <w:t>que contiene las condiciones de participación del presente procedimiento de contratación, ha sido dividido en cinco componentes sustanciales y que forman parte integrante del mismo: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I:</w:t>
      </w:r>
      <w:r>
        <w:rPr>
          <w:rFonts w:ascii="Arial" w:hAnsi="Arial" w:eastAsia="Times New Roman" w:cs="Arial"/>
          <w:b/>
          <w:sz w:val="20"/>
          <w:lang w:eastAsia="hi-IN" w:bidi="hi-IN"/>
        </w:rPr>
        <w:tab/>
      </w:r>
      <w:r>
        <w:rPr>
          <w:rFonts w:ascii="Arial" w:hAnsi="Arial" w:eastAsia="Times New Roman" w:cs="Arial"/>
          <w:b/>
          <w:szCs w:val="20"/>
          <w:lang w:eastAsia="hi-IN" w:bidi="hi-IN"/>
        </w:rPr>
        <w:t>CONDICIONES PARTICULARES DEL PROCEDIMIENTO DE CONTRATACIÓN DE OBRAS PARA PAVIMENTO FLEXIBLE, CORRESPONDIENTE AL GRUPO 5</w:t>
      </w:r>
    </w:p>
    <w:p>
      <w:pPr>
        <w:suppressAutoHyphens/>
        <w:spacing w:after="0" w:line="240" w:lineRule="auto"/>
        <w:ind w:left="709" w:hanging="425"/>
        <w:jc w:val="both"/>
        <w:rPr>
          <w:rFonts w:ascii="Arial" w:hAnsi="Arial" w:eastAsia="Times New Roman" w:cs="Arial"/>
          <w:b/>
          <w:sz w:val="20"/>
          <w:lang w:eastAsia="hi-IN" w:bidi="hi-IN"/>
        </w:rPr>
      </w:pPr>
    </w:p>
    <w:p>
      <w:pPr>
        <w:suppressAutoHyphens/>
        <w:spacing w:after="0" w:line="240" w:lineRule="auto"/>
        <w:ind w:left="709"/>
        <w:jc w:val="both"/>
        <w:rPr>
          <w:rFonts w:ascii="Arial" w:hAnsi="Arial" w:eastAsia="Times New Roman" w:cs="Arial"/>
          <w:sz w:val="20"/>
          <w:szCs w:val="20"/>
          <w:lang w:eastAsia="es-ES"/>
        </w:rPr>
      </w:pPr>
      <w:r>
        <w:rPr>
          <w:rFonts w:ascii="Arial" w:hAnsi="Arial" w:eastAsia="Times New Roman" w:cs="Arial"/>
          <w:sz w:val="20"/>
          <w:lang w:eastAsia="hi-IN" w:bidi="hi-IN"/>
        </w:rPr>
        <w:t>El presente proceso se regirá por las normas establecidas en</w:t>
      </w:r>
      <w:r>
        <w:rPr>
          <w:rFonts w:ascii="Arial" w:hAnsi="Arial" w:eastAsia="Times New Roman" w:cs="Arial"/>
          <w:b/>
          <w:sz w:val="20"/>
          <w:lang w:eastAsia="hi-IN" w:bidi="hi-IN"/>
        </w:rPr>
        <w:t xml:space="preserve"> e</w:t>
      </w:r>
      <w:r>
        <w:rPr>
          <w:rFonts w:ascii="Arial" w:hAnsi="Arial" w:eastAsia="Times New Roman" w:cs="Arial"/>
          <w:sz w:val="20"/>
          <w:szCs w:val="20"/>
          <w:lang w:eastAsia="es-ES"/>
        </w:rPr>
        <w:t>l REGLAMENTO DE ADJUDICACION DE OBRAS Y FISCALIZACIÓN FINANCIADOS CON RECURSOS CAF PARA EL PROGRAMA BARRIO PARA MEJOR VIVIR FASE II, mismo que en su Sección Primera señala:</w:t>
      </w:r>
    </w:p>
    <w:p>
      <w:pPr>
        <w:tabs>
          <w:tab w:val="left" w:pos="6078"/>
        </w:tabs>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b/>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ANTECEDENTES: PRÉSTAMOS DE LA CORPORACIÓN ANDINA DE FOMENTO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la ciudad de Caracas, Venezuela, con fecha 26 de octubre de 2015 se suscribió un contrato de préstamo entre CAF y el Gobierno Autónomo Descentralizado Municipal del Cantón Cuenca (“Municipio de Cuenca”), por un monto de hasta sesenta millones de los Estados Unidos de América (USD 60.000.000,00) para financiar de forma parcial el Programa “Barrio para Mejor Vivir” Fase II (el “Programa”) (el “Contrato de Préstamo”).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Complementariamente el artículo 3 de la Ley Orgánica del Sistema Nacional de Contratación Pública –LOSNCCP- textualmente establece: “</w:t>
      </w:r>
      <w:r>
        <w:rPr>
          <w:rFonts w:ascii="Arial" w:hAnsi="Arial" w:eastAsia="Times New Roman" w:cs="Arial"/>
          <w:i/>
          <w:sz w:val="20"/>
          <w:szCs w:val="20"/>
          <w:lang w:eastAsia="es-ES"/>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cláusula 23 del Anexo A del Contrato de Préstamo establece que para (i) la adquisición de bienes por montos de hasta quinientos mil dólares de los Estados Unidos de América (USD 500.000); (ii) la contratación de obras y servicios por montos de hasta dos millones de dólares de los Estados Unidos de América (USD 2’000.000); y, (iii) la contratación de consultoría por montos de hasta doscientos cincuenta mil dólares de los Estados Unidos de América (USD 250.000) se deberá aplicar la metodología de contratación pública que cumpla con los principios de transparencia y competitividad previamente autorizados por CAF. Montos superiores a los indicados en los puntos (i) al (iii) se deben someter a procesos de contratación pública internacional.</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Bajo este marco, es voluntad de CAF y del GAD Municipal acordar los procesos de contratación aplicables a los puntos (i) al (iii) descritos en el párrafo anterior para los proyectos financiados por el Programa.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objetivo principal del Programa es mejorar la calidad de vida de los habitantes del cantón Cuenca, en particular de aquellos que habitan en los sectores más vulnerables y de bajos ingresos económicos, a través de la dotación de obras de infraestructura integral tales como: servicios de agua potable, alcantarillado, vías pavimentadas, aceras, drenajes alumbrado, red de telecomunicación y espacios verdes a barrios urbanos carentes de la misma.</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En los procesos de contratación, se tomará en cuenta los siguientes principios:</w:t>
      </w:r>
    </w:p>
    <w:p>
      <w:pPr>
        <w:spacing w:after="0" w:line="240" w:lineRule="auto"/>
        <w:ind w:left="705"/>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TRANSPARENCIA. Se entenderá como la virtud de rectitud e integridad en el obrar de las partes contratantes, en la participación de los procesos de selección, contratación y ejecución, correspondientes. Los Prestatarios y organismos ejecutores beneficiarios de las operaciones de financiamiento de CAF, buscarán en todo proceso de contratación, porque la información relacionada en éstos sea oportunamente de pleno conocimiento de los potenciales oferentes, mediante la determinación de reglas de juego claras desde el inicio del proceso. Asimismo, deben disponer de lo necesario para que se deje evidencia documental de las actuaciones y decisiones que ocurran en cada una de las etapas del proceso de contratación.</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COMPETITIVIDAD. Bajo este principio los prestatarios y organismo ejecutores, conferirán a los sujetos contratistas una capacidad para exigir un trato equitativo, esto es, un mismo trato ante los procesos contractuales, en procura de garantizar sus derechos y obligaciones dentro del marco de un Estado democrático y participativo.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El organismo responsable de los procesos de adquisiciones pretenderá, que la selección de sus contratistas se efectúe sin ningún tipo de consideración subjetiva, siguiendo unos procedimientos previamente establecidos, divulgados y conocidos que permitan seleccionar el contratista más favorable para los intereses del Estado.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DIVULGACION. Los procesos competiditos deben ser publicados, los medios comunes en nuestra región son los avisos internacionales, la publicación electrónica, diarios de amplia difusión nacional y local, cámara de comercios, gremios de contratista y proveedores, entre otros.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Por tanto la difusión es maximizada, con el objeto de atraer a los mejores proveedores de obras, bienes y servicios, que operan en el mercado y estén interesados en el proceso, asimismo debe ser extensiva a todos los proveedores sean estos nacionales o extranjeros.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Una publicación adecuada, es aquella que precisa claramente las características minimizas del proceso de selección, no restringe la participación de ningún proveedor, puede exhibir un precio estimado, precisa las etapas y los tiempos en un calendario programado, la cual se deben ceñir todos los proveedores que estén interesados en participar.</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 relación legal y jurídica entre CAF y los Prestatarios se rige únicamente por el Contrato de Préstamo que establece la aplicación de las Políticas de Gestión para la contratación de Bienes, Obras, y Servicios de Fiscalización. La responsabilidad por la ejecución, administración y uso de los recursos del Préstamo recae en los Prestatarios, incluyendo todos los procesos de adquisiciones, desde la preparación de los documentos del procedimiento hasta la adjudicación, administración, gestión y liquidación final de los contratos financiados con recursos CAF.</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Las imposiciones legales derivadas de los contratos en los procesos de adquisiciones no establecen ninguna relación entre CAF y los proveedores de bienes, obras, o las prestaciones de los servicios de fiscalización, ni formarán parte de los contratos de préstamos.</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Los derechos y obligaciones de los proveedores de bienes, servicios, y contratistas de obras, se limitan por lo establecido en los documentos del contrato suscrito entre estos y el Prestatario Contratante, y no por lo estipulado en el Contrato de Préstamo entre CAF y el Prestatario.</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Además el Reglamento el Adjudicación de Obras y Fiscalización Financiados con Recursos CAF para el Programa Barrios Para Mejor Vivir Fase II que rige estos procesos determina para las obras de Pavimento Flexible lo siguiente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Artículo 9-</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Al no tratarse de un procedimiento de adhesión al presupuesto referencial establecido por la Unidad Ejecutora de Proyectos, en las condiciones generales y particulares del procedimiento se establecerá los parámetros a evaluar y la metodología aplicable.</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Artículo 11.-  </w:t>
      </w: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w:t>
      </w:r>
    </w:p>
    <w:p>
      <w:pPr>
        <w:spacing w:after="0" w:line="240" w:lineRule="auto"/>
        <w:jc w:val="both"/>
        <w:rPr>
          <w:rFonts w:ascii="Arial" w:hAnsi="Arial" w:eastAsia="Times New Roman" w:cs="Arial"/>
          <w:sz w:val="20"/>
          <w:szCs w:val="20"/>
          <w:lang w:eastAsia="es-ES"/>
        </w:rPr>
      </w:pPr>
    </w:p>
    <w:p>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Para las obras de Pavimento Flexible la calificación de los oferentes se realizará de acuerdo a lo establecido en los Pliegos de cada una de las obras.</w:t>
      </w:r>
    </w:p>
    <w:p>
      <w:pPr>
        <w:spacing w:after="0" w:line="240" w:lineRule="auto"/>
        <w:jc w:val="both"/>
        <w:rPr>
          <w:rFonts w:ascii="Arial" w:hAnsi="Arial" w:eastAsia="Times New Roman" w:cs="Arial"/>
          <w:sz w:val="20"/>
          <w:szCs w:val="20"/>
          <w:lang w:eastAsia="es-ES"/>
        </w:rPr>
      </w:pPr>
    </w:p>
    <w:p>
      <w:pPr>
        <w:suppressAutoHyphens/>
        <w:spacing w:after="0" w:line="240" w:lineRule="auto"/>
        <w:ind w:left="284"/>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Se establece la información y reglas específicas que rigen al procedimiento de contratación, incluidos formularios y el proyecto de contrato.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II: </w:t>
      </w:r>
      <w:r>
        <w:rPr>
          <w:rFonts w:ascii="Arial" w:hAnsi="Arial" w:eastAsia="Times New Roman" w:cs="Arial"/>
          <w:b/>
          <w:szCs w:val="20"/>
          <w:lang w:eastAsia="hi-IN" w:bidi="hi-IN"/>
        </w:rPr>
        <w:t>CONDICIONES GENERALES DEL PROCEDIMIENTO DE CONTRATACIÓN DE OBRAS PARA PAVIMENTO FLEXIBLE, CORRESPONDIENTE AL GRUPO 5</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Este procedimiento se desarrollará en el marco del Reglamento de adjudicación de obras y Fiscalización financiados con recursos CAF para el programa “Barrio para Mejor Vivir Fase II”, el presente pliego aprobado por CAF, la Ley Orgánica del Sistema Nacional de Contratación Pública, su Reglamento General, sus Resoluciones y disposiciones administrativas emitidas por el SERCOP, en lo que fuere aplicable</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 III: </w:t>
      </w:r>
      <w:r>
        <w:rPr>
          <w:rFonts w:ascii="Arial" w:hAnsi="Arial" w:eastAsia="Times New Roman" w:cs="Arial"/>
          <w:b/>
          <w:szCs w:val="20"/>
          <w:lang w:eastAsia="hi-IN" w:bidi="hi-IN"/>
        </w:rPr>
        <w:t>FORMULARIOS DEL PROCEDIMIENTO DE CONTRATACIÓN DE OBRAS PARA PAVIMENTO FLEXIBLE, CORRESPONDIENTE AL GRUPO 5</w:t>
      </w:r>
    </w:p>
    <w:p>
      <w:pPr>
        <w:suppressAutoHyphens/>
        <w:spacing w:after="0" w:line="240" w:lineRule="auto"/>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Los participantes deberán de manera obligatoria adjuntar en su oferta todos los formularios que constan al final del presente pliego, debidamente llenados, foliados y rubricados por el oferente. El formulario del Oferente deberá de manera obligatoria ser presentado con la firma del oferente, cualquier modificación a éste formulario será causal de rechazo de la propuesta.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b/>
          <w:szCs w:val="20"/>
          <w:lang w:eastAsia="hi-IN" w:bidi="hi-IN"/>
        </w:rPr>
      </w:pPr>
      <w:r>
        <w:rPr>
          <w:rFonts w:ascii="Arial" w:hAnsi="Arial" w:eastAsia="Times New Roman" w:cs="Arial"/>
          <w:b/>
          <w:sz w:val="20"/>
          <w:lang w:eastAsia="hi-IN" w:bidi="hi-IN"/>
        </w:rPr>
        <w:t xml:space="preserve">IV: </w:t>
      </w:r>
      <w:r>
        <w:rPr>
          <w:rFonts w:ascii="Arial" w:hAnsi="Arial" w:eastAsia="Times New Roman" w:cs="Arial"/>
          <w:b/>
          <w:szCs w:val="20"/>
          <w:lang w:eastAsia="hi-IN" w:bidi="hi-IN"/>
        </w:rPr>
        <w:t xml:space="preserve">CONDICIONES PARTICULARES DE LOS CONTRATOS DE OBRAS PARA PAVIMENTO FLEXIBLE, CORRESPONDIENTE AL GRUPO 5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Se presenta el proyecto de contrato que establece las condiciones contractuales que deberán ser acordadas entre la entidad contratante y el adjudicatario para un procedimiento de CONTRATACIÓN DE OBRAS PARA PAVIMENTO FLEXIBLE, CORRESPONDIENTE AL GRUPO 5, documento que perfeccionado será suscrito por las partes intervinientes, la entidad contratante y el adjudicatario. </w:t>
      </w: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p>
    <w:p>
      <w:pPr>
        <w:suppressAutoHyphens/>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 xml:space="preserve">V: </w:t>
      </w:r>
      <w:r>
        <w:rPr>
          <w:rFonts w:ascii="Arial" w:hAnsi="Arial" w:eastAsia="Times New Roman" w:cs="Arial"/>
          <w:b/>
          <w:sz w:val="20"/>
          <w:lang w:eastAsia="hi-IN" w:bidi="hi-IN"/>
        </w:rPr>
        <w:tab/>
      </w:r>
      <w:r>
        <w:rPr>
          <w:rFonts w:ascii="Arial" w:hAnsi="Arial" w:eastAsia="Times New Roman" w:cs="Arial"/>
          <w:b/>
          <w:sz w:val="20"/>
          <w:lang w:eastAsia="hi-IN" w:bidi="hi-IN"/>
        </w:rPr>
        <w:t xml:space="preserve">CONDICIONES GENERALES DE LOS CONTRATOS DE OBRAS PARA PAVIMENTO FLEXIBLE, CORRESPONDIENTE AL GRUPO 5      </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Recoge las condiciones contractuales de carácter general que son aplicables para los procedimientos de contratación de  Obras financiados  con recursos CAF a través del procedimiento establecido en el Reglamento que rige este proceso.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jc w:val="both"/>
        <w:rPr>
          <w:rFonts w:ascii="Arial" w:hAnsi="Arial" w:eastAsia="Times New Roman" w:cs="Arial"/>
          <w:sz w:val="20"/>
          <w:lang w:eastAsia="hi-IN" w:bidi="hi-IN"/>
        </w:rPr>
      </w:pPr>
    </w:p>
    <w:p>
      <w:pPr>
        <w:pBdr>
          <w:top w:val="single" w:color="auto" w:sz="4" w:space="0"/>
          <w:left w:val="single" w:color="auto" w:sz="4" w:space="4"/>
          <w:bottom w:val="single" w:color="auto" w:sz="4" w:space="1"/>
          <w:right w:val="single" w:color="auto" w:sz="4" w:space="4"/>
        </w:pBdr>
        <w:shd w:val="clear" w:color="auto" w:fill="D9D9D9"/>
        <w:suppressAutoHyphens/>
        <w:spacing w:after="0" w:line="240" w:lineRule="auto"/>
        <w:jc w:val="center"/>
        <w:rPr>
          <w:rFonts w:ascii="Arial" w:hAnsi="Arial" w:eastAsia="Times New Roman" w:cs="Arial"/>
          <w:i/>
          <w:sz w:val="18"/>
          <w:szCs w:val="20"/>
          <w:lang w:bidi="hi-IN"/>
        </w:rPr>
      </w:pPr>
      <w:r>
        <w:rPr>
          <w:rFonts w:ascii="Arial" w:hAnsi="Arial" w:eastAsia="Times New Roman" w:cs="Arial"/>
          <w:b/>
          <w:bCs/>
          <w:sz w:val="18"/>
          <w:szCs w:val="20"/>
          <w:lang w:bidi="hi-IN"/>
        </w:rPr>
        <w:t>I. CONDICIONES PARTICULARES DEL PROCEDIMIENTO DE CONTRATACION DE OBRAS CORRESPONDIENTE AL GRUPO 5</w:t>
      </w:r>
    </w:p>
    <w:p>
      <w:pPr>
        <w:tabs>
          <w:tab w:val="left" w:pos="180"/>
        </w:tabs>
        <w:suppressAutoHyphens/>
        <w:spacing w:after="0" w:line="240" w:lineRule="auto"/>
        <w:jc w:val="center"/>
        <w:rPr>
          <w:rFonts w:ascii="Arial" w:hAnsi="Arial" w:eastAsia="Times New Roman" w:cs="Arial"/>
          <w:b/>
          <w:spacing w:val="-3"/>
          <w:szCs w:val="20"/>
          <w:lang w:eastAsia="hi-IN" w:bidi="hi-IN"/>
        </w:rPr>
      </w:pPr>
    </w:p>
    <w:p>
      <w:pPr>
        <w:tabs>
          <w:tab w:val="left" w:pos="180"/>
        </w:tabs>
        <w:suppressAutoHyphens/>
        <w:spacing w:after="0" w:line="240" w:lineRule="auto"/>
        <w:jc w:val="center"/>
        <w:rPr>
          <w:rFonts w:ascii="Arial" w:hAnsi="Arial" w:eastAsia="Times New Roman" w:cs="Arial"/>
          <w:b/>
          <w:spacing w:val="-3"/>
          <w:sz w:val="20"/>
          <w:szCs w:val="20"/>
          <w:lang w:eastAsia="hi-IN" w:bidi="hi-IN"/>
        </w:rPr>
      </w:pPr>
      <w:r>
        <w:rPr>
          <w:rFonts w:ascii="Arial" w:hAnsi="Arial" w:eastAsia="Times New Roman" w:cs="Arial"/>
          <w:b/>
          <w:spacing w:val="-3"/>
          <w:sz w:val="20"/>
          <w:szCs w:val="20"/>
          <w:lang w:eastAsia="hi-IN" w:bidi="hi-IN"/>
        </w:rPr>
        <w:t>ÍNDICE</w:t>
      </w:r>
    </w:p>
    <w:p>
      <w:pPr>
        <w:tabs>
          <w:tab w:val="left" w:pos="180"/>
        </w:tabs>
        <w:suppressAutoHyphens/>
        <w:spacing w:after="0" w:line="240" w:lineRule="auto"/>
        <w:jc w:val="center"/>
        <w:rPr>
          <w:rFonts w:ascii="Arial" w:hAnsi="Arial" w:eastAsia="Times New Roman" w:cs="Arial"/>
          <w:b/>
          <w:spacing w:val="-3"/>
          <w:sz w:val="20"/>
          <w:szCs w:val="20"/>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w:t>
            </w: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CONVOCATORIA</w:t>
            </w:r>
          </w:p>
          <w:p>
            <w:pPr>
              <w:tabs>
                <w:tab w:val="left" w:pos="-540"/>
              </w:tabs>
              <w:suppressAutoHyphens/>
              <w:spacing w:after="0" w:line="240" w:lineRule="auto"/>
              <w:rPr>
                <w:rFonts w:ascii="Arial" w:hAnsi="Arial" w:eastAsia="Times New Roman" w:cs="Arial"/>
                <w:sz w:val="18"/>
                <w:lang w:eastAsia="hi-IN" w:bidi="hi-IN"/>
              </w:rPr>
            </w:pPr>
            <w:r>
              <w:rPr>
                <w:rFonts w:ascii="Arial" w:hAnsi="Arial" w:eastAsia="Times New Roman" w:cs="Arial"/>
                <w:sz w:val="18"/>
                <w:lang w:eastAsia="hi-IN" w:bidi="hi-I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180"/>
              </w:tabs>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SECCION 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OBJETO DE LA CONTRATACIÓN, PRESUPUESTO REFERENCIAL Y TÉRMINOS DE REFERENCIA</w:t>
            </w:r>
          </w:p>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Objeto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Presupuesto referencial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2.3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Términos de referencia</w:t>
            </w:r>
          </w:p>
          <w:p>
            <w:pPr>
              <w:tabs>
                <w:tab w:val="left" w:pos="180"/>
              </w:tabs>
              <w:suppressAutoHyphens/>
              <w:spacing w:after="0" w:line="240" w:lineRule="auto"/>
              <w:rPr>
                <w:rFonts w:ascii="Arial" w:hAnsi="Arial" w:eastAsia="Times New Roman" w:cs="Arial"/>
                <w:b/>
                <w:spacing w:val="-3"/>
                <w:sz w:val="18"/>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196"/>
              </w:tabs>
              <w:suppressAutoHyphens/>
              <w:spacing w:after="0" w:line="240" w:lineRule="auto"/>
              <w:jc w:val="center"/>
              <w:rPr>
                <w:rFonts w:ascii="Arial" w:hAnsi="Arial" w:eastAsia="Times New Roman" w:cs="Arial"/>
                <w:b/>
                <w:sz w:val="18"/>
                <w:lang w:eastAsia="hi-IN" w:bidi="hi-IN"/>
              </w:rPr>
            </w:pPr>
            <w:r>
              <w:rPr>
                <w:rFonts w:ascii="Arial" w:hAnsi="Arial" w:eastAsia="Times New Roman" w:cs="Arial"/>
                <w:b/>
                <w:sz w:val="18"/>
                <w:lang w:eastAsia="hi-IN" w:bidi="hi-IN"/>
              </w:rPr>
              <w:t>SECCION III</w:t>
            </w:r>
          </w:p>
          <w:p>
            <w:pPr>
              <w:tabs>
                <w:tab w:val="left" w:pos="180"/>
              </w:tabs>
              <w:suppressAutoHyphens/>
              <w:spacing w:after="0" w:line="240" w:lineRule="auto"/>
              <w:jc w:val="center"/>
              <w:rPr>
                <w:rFonts w:ascii="Arial" w:hAnsi="Arial" w:eastAsia="Times New Roman" w:cs="Arial"/>
                <w:b/>
                <w:spacing w:val="-3"/>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CONDICIONES DEL PROCEDIMIENTO</w:t>
            </w:r>
          </w:p>
          <w:p>
            <w:pPr>
              <w:tabs>
                <w:tab w:val="left" w:pos="3196"/>
              </w:tabs>
              <w:suppressAutoHyphens/>
              <w:spacing w:after="0" w:line="240" w:lineRule="auto"/>
              <w:rPr>
                <w:rFonts w:ascii="Arial" w:hAnsi="Arial" w:eastAsia="Times New Roman" w:cs="Arial"/>
                <w:b/>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z w:val="18"/>
                <w:lang w:eastAsia="hi-IN" w:bidi="hi-IN"/>
              </w:rPr>
              <w:t>3</w:t>
            </w:r>
            <w:r>
              <w:rPr>
                <w:rFonts w:ascii="Arial" w:hAnsi="Arial" w:eastAsia="Times New Roman" w:cs="Arial"/>
                <w:spacing w:val="-2"/>
                <w:sz w:val="18"/>
                <w:lang w:eastAsia="hi-IN" w:bidi="hi-IN"/>
              </w:rPr>
              <w:t>.1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Cronograma del procedimiento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Vigencia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Precio de la oferta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Plazo de ejecución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3.5</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Alcance de la oferta</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3.6</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Forma de pago </w:t>
            </w:r>
          </w:p>
          <w:p>
            <w:pPr>
              <w:tabs>
                <w:tab w:val="left" w:pos="180"/>
              </w:tabs>
              <w:suppressAutoHyphens/>
              <w:spacing w:after="0" w:line="240" w:lineRule="auto"/>
              <w:rPr>
                <w:rFonts w:ascii="Arial" w:hAnsi="Arial" w:eastAsia="Times New Roman" w:cs="Arial"/>
                <w:b/>
                <w:spacing w:val="-3"/>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tabs>
                <w:tab w:val="left" w:pos="3708"/>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IV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EVALUACIÓN DE LAS OFERTAS</w:t>
            </w:r>
          </w:p>
          <w:p>
            <w:pPr>
              <w:tabs>
                <w:tab w:val="left" w:pos="3708"/>
              </w:tabs>
              <w:suppressAutoHyphens/>
              <w:spacing w:after="0" w:line="240" w:lineRule="auto"/>
              <w:rPr>
                <w:rFonts w:ascii="Arial" w:hAnsi="Arial" w:eastAsia="Times New Roman" w:cs="Arial"/>
                <w:b/>
                <w:spacing w:val="-2"/>
                <w:sz w:val="18"/>
                <w:u w:val="single"/>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Integridad de las ofertas</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(cumple / no cumple)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4.3</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por puntaje</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4.4</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Evaluación de la Oferta Económica</w:t>
            </w:r>
          </w:p>
          <w:p>
            <w:pPr>
              <w:tabs>
                <w:tab w:val="left" w:pos="3196"/>
              </w:tabs>
              <w:suppressAutoHyphens/>
              <w:spacing w:after="0" w:line="240" w:lineRule="auto"/>
              <w:rPr>
                <w:rFonts w:ascii="Arial" w:hAnsi="Arial" w:eastAsia="Times New Roman" w:cs="Arial"/>
                <w:b/>
                <w:sz w:val="18"/>
                <w:u w:val="single"/>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shd w:val="clear" w:color="auto" w:fill="F2F2F2"/>
          </w:tcPr>
          <w:p>
            <w:pPr>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jc w:val="center"/>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SECCIÓN V</w:t>
            </w:r>
          </w:p>
          <w:p>
            <w:pPr>
              <w:tabs>
                <w:tab w:val="left" w:pos="3196"/>
              </w:tabs>
              <w:suppressAutoHyphens/>
              <w:spacing w:after="0" w:line="240" w:lineRule="auto"/>
              <w:jc w:val="center"/>
              <w:rPr>
                <w:rFonts w:ascii="Arial" w:hAnsi="Arial" w:eastAsia="Times New Roman" w:cs="Arial"/>
                <w:b/>
                <w:sz w:val="18"/>
                <w:lang w:eastAsia="hi-IN" w:bidi="hi-IN"/>
              </w:rPr>
            </w:pPr>
          </w:p>
        </w:tc>
        <w:tc>
          <w:tcPr>
            <w:tcW w:w="7450" w:type="dxa"/>
            <w:shd w:val="clear" w:color="auto" w:fill="auto"/>
          </w:tcPr>
          <w:p>
            <w:pPr>
              <w:tabs>
                <w:tab w:val="left" w:pos="-540"/>
              </w:tabs>
              <w:suppressAutoHyphens/>
              <w:spacing w:after="0" w:line="240" w:lineRule="auto"/>
              <w:rPr>
                <w:rFonts w:ascii="Arial" w:hAnsi="Arial" w:eastAsia="Times New Roman" w:cs="Arial"/>
                <w:b/>
                <w:spacing w:val="-2"/>
                <w:sz w:val="18"/>
                <w:lang w:eastAsia="hi-IN" w:bidi="hi-IN"/>
              </w:rPr>
            </w:pPr>
            <w:r>
              <w:rPr>
                <w:rFonts w:ascii="Arial" w:hAnsi="Arial" w:eastAsia="Times New Roman" w:cs="Arial"/>
                <w:b/>
                <w:spacing w:val="-2"/>
                <w:sz w:val="18"/>
                <w:lang w:eastAsia="hi-IN" w:bidi="hi-IN"/>
              </w:rPr>
              <w:t>OBLIGACIONES DE LAS PARTES</w:t>
            </w:r>
          </w:p>
          <w:p>
            <w:pPr>
              <w:tabs>
                <w:tab w:val="left" w:pos="-540"/>
              </w:tabs>
              <w:suppressAutoHyphens/>
              <w:spacing w:after="0" w:line="240" w:lineRule="auto"/>
              <w:jc w:val="both"/>
              <w:rPr>
                <w:rFonts w:ascii="Arial" w:hAnsi="Arial" w:eastAsia="Times New Roman" w:cs="Arial"/>
                <w:spacing w:val="-2"/>
                <w:sz w:val="18"/>
                <w:lang w:eastAsia="hi-IN" w:bidi="hi-IN"/>
              </w:rPr>
            </w:pP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5.1</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del Contratista </w:t>
            </w:r>
          </w:p>
          <w:p>
            <w:pPr>
              <w:tabs>
                <w:tab w:val="left" w:pos="-540"/>
              </w:tabs>
              <w:suppressAutoHyphens/>
              <w:spacing w:after="0" w:line="240" w:lineRule="auto"/>
              <w:ind w:left="317"/>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5.2</w:t>
            </w:r>
            <w:r>
              <w:rPr>
                <w:rFonts w:ascii="Arial" w:hAnsi="Arial" w:eastAsia="Times New Roman" w:cs="Arial"/>
                <w:spacing w:val="-2"/>
                <w:sz w:val="18"/>
                <w:lang w:eastAsia="hi-IN" w:bidi="hi-IN"/>
              </w:rPr>
              <w:tab/>
            </w:r>
            <w:r>
              <w:rPr>
                <w:rFonts w:ascii="Arial" w:hAnsi="Arial" w:eastAsia="Times New Roman" w:cs="Arial"/>
                <w:spacing w:val="-2"/>
                <w:sz w:val="18"/>
                <w:lang w:eastAsia="hi-IN" w:bidi="hi-IN"/>
              </w:rPr>
              <w:t xml:space="preserve">Obligaciones de la contratante </w:t>
            </w:r>
          </w:p>
          <w:p>
            <w:pPr>
              <w:tabs>
                <w:tab w:val="left" w:pos="3196"/>
              </w:tabs>
              <w:suppressAutoHyphens/>
              <w:spacing w:after="0" w:line="240" w:lineRule="auto"/>
              <w:rPr>
                <w:rFonts w:ascii="Arial" w:hAnsi="Arial" w:eastAsia="Times New Roman" w:cs="Arial"/>
                <w:b/>
                <w:sz w:val="18"/>
                <w:u w:val="single"/>
                <w:lang w:eastAsia="hi-IN" w:bidi="hi-IN"/>
              </w:rPr>
            </w:pPr>
          </w:p>
        </w:tc>
      </w:tr>
    </w:tbl>
    <w:p>
      <w:pPr>
        <w:tabs>
          <w:tab w:val="left" w:pos="180"/>
        </w:tabs>
        <w:suppressAutoHyphens/>
        <w:spacing w:after="0" w:line="240" w:lineRule="auto"/>
        <w:rPr>
          <w:rFonts w:ascii="Arial" w:hAnsi="Arial" w:eastAsia="Times New Roman" w:cs="Arial"/>
          <w:b/>
          <w:spacing w:val="-3"/>
          <w:sz w:val="20"/>
          <w:lang w:eastAsia="hi-IN" w:bidi="hi-IN"/>
        </w:rPr>
      </w:pPr>
    </w:p>
    <w:p>
      <w:pPr>
        <w:tabs>
          <w:tab w:val="left" w:pos="180"/>
        </w:tabs>
        <w:suppressAutoHyphens/>
        <w:spacing w:after="0" w:line="240" w:lineRule="auto"/>
        <w:rPr>
          <w:rFonts w:ascii="Arial" w:hAnsi="Arial" w:eastAsia="Times New Roman" w:cs="Arial"/>
          <w:b/>
          <w:spacing w:val="-3"/>
          <w:sz w:val="20"/>
          <w:lang w:eastAsia="hi-IN"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SECCIÓN I</w:t>
      </w:r>
    </w:p>
    <w:p>
      <w:pPr>
        <w:suppressAutoHyphens/>
        <w:spacing w:after="0" w:line="240" w:lineRule="auto"/>
        <w:jc w:val="center"/>
        <w:rPr>
          <w:rFonts w:ascii="Arial" w:hAnsi="Arial" w:eastAsia="Times New Roman" w:cs="Arial"/>
          <w:b/>
          <w:szCs w:val="24"/>
          <w:lang w:bidi="hi-IN"/>
        </w:rPr>
      </w:pPr>
    </w:p>
    <w:p>
      <w:pPr>
        <w:suppressAutoHyphens/>
        <w:spacing w:after="0" w:line="240" w:lineRule="auto"/>
        <w:jc w:val="center"/>
        <w:rPr>
          <w:rFonts w:ascii="Arial" w:hAnsi="Arial" w:eastAsia="Times New Roman" w:cs="Arial"/>
          <w:b/>
          <w:szCs w:val="24"/>
          <w:lang w:bidi="hi-IN"/>
        </w:rPr>
      </w:pPr>
      <w:r>
        <w:rPr>
          <w:rFonts w:ascii="Arial" w:hAnsi="Arial" w:eastAsia="Times New Roman" w:cs="Arial"/>
          <w:b/>
          <w:szCs w:val="24"/>
          <w:lang w:bidi="hi-IN"/>
        </w:rPr>
        <w:t>CONVOCATORIA</w:t>
      </w:r>
    </w:p>
    <w:p>
      <w:pPr>
        <w:suppressAutoHyphens/>
        <w:spacing w:after="0" w:line="240" w:lineRule="auto"/>
        <w:jc w:val="both"/>
        <w:rPr>
          <w:rFonts w:ascii="Arial" w:hAnsi="Arial" w:eastAsia="Times New Roman" w:cs="Arial"/>
          <w:sz w:val="20"/>
          <w:lang w:bidi="hi-IN"/>
        </w:rPr>
      </w:pPr>
    </w:p>
    <w:p>
      <w:pPr>
        <w:tabs>
          <w:tab w:val="left" w:pos="-1440"/>
        </w:tabs>
        <w:jc w:val="both"/>
        <w:rPr>
          <w:rFonts w:ascii="Arial" w:hAnsi="Arial" w:eastAsia="Times New Roman" w:cs="Arial"/>
          <w:b/>
          <w:bCs/>
          <w:caps/>
          <w:sz w:val="20"/>
          <w:szCs w:val="20"/>
          <w:lang w:eastAsia="hi-IN" w:bidi="hi-IN"/>
        </w:rPr>
      </w:pPr>
      <w:r>
        <w:rPr>
          <w:rFonts w:ascii="Arial" w:hAnsi="Arial" w:eastAsia="Times New Roman" w:cs="Arial"/>
          <w:sz w:val="20"/>
          <w:szCs w:val="20"/>
          <w:lang w:bidi="hi-IN"/>
        </w:rPr>
        <w:t>Se convoca a los oferentes que se encuentren calificados por la Comisión Administrativa de Evaluación y Adjudicación, en apego a las normas establecidas en la Sección Cuarta del REGLAMENTO DE ADJUDICACION DE OBRAS Y FISCALIZACION CON RECURSOS CAF PARA EL PROGRAMA BARRIO PARA MEJOR VIVIR FASE II, registrados para la contratación de obras de pavimento flexible rango hasta de $ 2,000,000.00</w:t>
      </w:r>
      <w:r>
        <w:rPr>
          <w:rFonts w:ascii="Arial" w:hAnsi="Arial" w:eastAsia="Times New Roman" w:cs="Arial"/>
          <w:spacing w:val="-2"/>
          <w:sz w:val="20"/>
          <w:szCs w:val="20"/>
          <w:lang w:eastAsia="hi-IN" w:bidi="hi-IN"/>
        </w:rPr>
        <w:t xml:space="preserve"> (GRUPO5), a que presenten sus ofertas técnico - económicas de acuerdo a las condiciones generales y particulares para la ejecución de: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spacing w:val="-2"/>
          <w:sz w:val="20"/>
          <w:szCs w:val="20"/>
          <w:lang w:eastAsia="hi-IN" w:bidi="hi-IN"/>
        </w:rPr>
        <w:t xml:space="preserve">El presupuesto referencial es de </w:t>
      </w:r>
      <w:r>
        <w:rPr>
          <w:rFonts w:ascii="Arial" w:hAnsi="Arial" w:eastAsia="Times New Roman" w:cs="Arial"/>
          <w:b/>
          <w:sz w:val="20"/>
          <w:szCs w:val="20"/>
          <w:lang w:bidi="hi-IN"/>
        </w:rPr>
        <w:t>USD 544,286.65 (QUINIENTOS CUARENTA Y CUATRO MIL DOSCIENTOS OCHENTA Y SEIS CON 65/100 DOLARES DE ESTADOS UNIDOS DE AMERICA), NO INCLUYE IVA</w:t>
      </w:r>
      <w:r>
        <w:rPr>
          <w:rFonts w:ascii="Arial" w:hAnsi="Arial" w:eastAsia="Times New Roman" w:cs="Arial"/>
          <w:spacing w:val="-2"/>
          <w:sz w:val="20"/>
          <w:szCs w:val="20"/>
          <w:lang w:eastAsia="hi-IN" w:bidi="hi-IN"/>
        </w:rPr>
        <w:t xml:space="preserve">, y el plazo máximo estimado para la ejecución del contrato es de </w:t>
      </w:r>
      <w:r>
        <w:rPr>
          <w:rFonts w:ascii="Arial" w:hAnsi="Arial" w:eastAsia="Times New Roman" w:cs="Arial"/>
          <w:b/>
          <w:sz w:val="20"/>
          <w:szCs w:val="20"/>
          <w:lang w:bidi="hi-IN"/>
        </w:rPr>
        <w:t>CIEN (100) DÍAS</w:t>
      </w:r>
      <w:r>
        <w:rPr>
          <w:rFonts w:ascii="Arial" w:hAnsi="Arial" w:eastAsia="Times New Roman" w:cs="Arial"/>
          <w:b/>
          <w:spacing w:val="-2"/>
          <w:sz w:val="20"/>
          <w:szCs w:val="20"/>
          <w:lang w:eastAsia="hi-IN" w:bidi="hi-IN"/>
        </w:rPr>
        <w:t xml:space="preserve"> CALENDARIO</w:t>
      </w:r>
      <w:r>
        <w:rPr>
          <w:rFonts w:ascii="Arial" w:hAnsi="Arial" w:eastAsia="Times New Roman" w:cs="Arial"/>
          <w:spacing w:val="-2"/>
          <w:sz w:val="20"/>
          <w:szCs w:val="20"/>
          <w:lang w:eastAsia="hi-IN" w:bidi="hi-IN"/>
        </w:rPr>
        <w:t>, contado a partir de la fecha de notificación de que el anticipo se encuentra transferido y disponible en la cuenta del contratista.</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tabs>
          <w:tab w:val="left" w:pos="-54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Las condiciones de esta convocatoria son las siguientes:</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El pliego está disponible, en el portal de la Entidad Contratante, </w:t>
      </w:r>
      <w:r>
        <w:fldChar w:fldCharType="begin"/>
      </w:r>
      <w:r>
        <w:instrText xml:space="preserve"> HYPERLINK "http://www." </w:instrText>
      </w:r>
      <w:r>
        <w:fldChar w:fldCharType="separate"/>
      </w:r>
      <w:r>
        <w:rPr>
          <w:rFonts w:ascii="Arial" w:hAnsi="Arial" w:eastAsia="Times New Roman" w:cs="Arial"/>
          <w:spacing w:val="-2"/>
          <w:sz w:val="20"/>
          <w:szCs w:val="20"/>
          <w:lang w:eastAsia="hi-IN" w:bidi="hi-IN"/>
        </w:rPr>
        <w:t>www.</w:t>
      </w:r>
      <w:r>
        <w:rPr>
          <w:rFonts w:ascii="Arial" w:hAnsi="Arial" w:eastAsia="Times New Roman" w:cs="Arial"/>
          <w:spacing w:val="-2"/>
          <w:sz w:val="20"/>
          <w:szCs w:val="20"/>
          <w:lang w:eastAsia="hi-IN" w:bidi="hi-IN"/>
        </w:rPr>
        <w:fldChar w:fldCharType="end"/>
      </w:r>
      <w:r>
        <w:rPr>
          <w:rFonts w:ascii="Arial" w:hAnsi="Arial" w:eastAsia="Times New Roman" w:cs="Arial"/>
          <w:spacing w:val="-2"/>
          <w:sz w:val="20"/>
          <w:szCs w:val="20"/>
          <w:lang w:eastAsia="hi-IN" w:bidi="hi-IN"/>
        </w:rPr>
        <w:t xml:space="preserve">cuenca.gob.ec. Exclusivamente el oferente adjudicado, una vez recibida la notificación de adjudicación, pagará a la entidad el valor de USD </w:t>
      </w:r>
      <w:r>
        <w:rPr>
          <w:rFonts w:ascii="Arial" w:hAnsi="Arial" w:eastAsia="Times New Roman" w:cs="Arial"/>
          <w:b/>
          <w:spacing w:val="-2"/>
          <w:sz w:val="20"/>
          <w:szCs w:val="20"/>
          <w:lang w:eastAsia="hi-IN" w:bidi="hi-IN"/>
        </w:rPr>
        <w:t>1.632,86</w:t>
      </w:r>
      <w:r>
        <w:rPr>
          <w:rFonts w:ascii="Arial" w:hAnsi="Arial" w:eastAsia="Times New Roman" w:cs="Arial"/>
          <w:spacing w:val="-2"/>
          <w:sz w:val="20"/>
          <w:szCs w:val="20"/>
          <w:lang w:eastAsia="hi-IN" w:bidi="hi-IN"/>
        </w:rPr>
        <w:t xml:space="preserve"> por concepto de levantamiento de pliegos.</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z w:val="20"/>
          <w:szCs w:val="20"/>
          <w:lang w:eastAsia="hi-IN" w:bidi="hi-IN"/>
        </w:rPr>
      </w:pPr>
      <w:r>
        <w:rPr>
          <w:rFonts w:ascii="Arial" w:hAnsi="Arial" w:eastAsia="Times New Roman" w:cs="Arial"/>
          <w:spacing w:val="-2"/>
          <w:sz w:val="20"/>
          <w:szCs w:val="20"/>
          <w:lang w:eastAsia="hi-IN" w:bidi="hi-IN"/>
        </w:rPr>
        <w:t xml:space="preserve">Los interesados podrán formular preguntas por escrito a la siguiente dirección electrónica </w:t>
      </w:r>
      <w:r>
        <w:fldChar w:fldCharType="begin"/>
      </w:r>
      <w:r>
        <w:instrText xml:space="preserve"> HYPERLINK "mailto:convocatoriacaf@cuenca.gob.ec" </w:instrText>
      </w:r>
      <w:r>
        <w:fldChar w:fldCharType="separate"/>
      </w:r>
      <w:r>
        <w:rPr>
          <w:rFonts w:ascii="Arial" w:hAnsi="Arial" w:cs="Arial"/>
          <w:sz w:val="20"/>
          <w:szCs w:val="20"/>
        </w:rPr>
        <w:t>convocatoriacaf@cuenca.gob.ec</w:t>
      </w:r>
      <w:r>
        <w:rPr>
          <w:rFonts w:ascii="Arial" w:hAnsi="Arial" w:cs="Arial"/>
          <w:sz w:val="20"/>
          <w:szCs w:val="20"/>
        </w:rPr>
        <w:fldChar w:fldCharType="end"/>
      </w:r>
      <w:r>
        <w:rPr>
          <w:rFonts w:ascii="Arial" w:hAnsi="Arial" w:eastAsia="Times New Roman" w:cs="Arial"/>
          <w:spacing w:val="-2"/>
          <w:sz w:val="20"/>
          <w:szCs w:val="20"/>
          <w:lang w:eastAsia="hi-IN" w:bidi="hi-IN"/>
        </w:rPr>
        <w:t xml:space="preserve">. La Comisión Administrativa de Evaluación y Adjudicación, absolverá las preguntas y realizará las aclaraciones necesarias a través de correo electrónico y publicará en la página web </w:t>
      </w:r>
      <w:r>
        <w:rPr>
          <w:rFonts w:ascii="Arial" w:hAnsi="Arial" w:eastAsia="Times New Roman" w:cs="Arial"/>
          <w:sz w:val="20"/>
          <w:szCs w:val="20"/>
          <w:u w:val="single"/>
          <w:lang w:eastAsia="hi-IN" w:bidi="hi-IN"/>
        </w:rPr>
        <w:t>www.cuenca.gob.ec</w:t>
      </w:r>
      <w:r>
        <w:rPr>
          <w:rFonts w:ascii="Arial" w:hAnsi="Arial" w:eastAsia="Times New Roman" w:cs="Arial"/>
          <w:spacing w:val="-2"/>
          <w:sz w:val="20"/>
          <w:szCs w:val="20"/>
          <w:lang w:eastAsia="hi-IN" w:bidi="hi-IN"/>
        </w:rPr>
        <w:t>, en el plazo establecido en el cronograma descrito en este pliego.</w:t>
      </w:r>
    </w:p>
    <w:p>
      <w:pPr>
        <w:suppressAutoHyphens/>
        <w:spacing w:after="0" w:line="240" w:lineRule="auto"/>
        <w:ind w:left="720"/>
        <w:rPr>
          <w:rFonts w:ascii="Arial" w:hAnsi="Arial" w:eastAsia="Times New Roman" w:cs="Arial"/>
          <w:spacing w:val="-2"/>
          <w:sz w:val="20"/>
          <w:szCs w:val="20"/>
          <w:lang w:eastAsia="hi-IN" w:bidi="hi-IN"/>
        </w:rPr>
      </w:pPr>
    </w:p>
    <w:p>
      <w:pPr>
        <w:numPr>
          <w:ilvl w:val="0"/>
          <w:numId w:val="2"/>
        </w:numPr>
        <w:tabs>
          <w:tab w:val="left" w:pos="-720"/>
        </w:tabs>
        <w:suppressAutoHyphens/>
        <w:autoSpaceDN w:val="0"/>
        <w:spacing w:after="0" w:line="240" w:lineRule="auto"/>
        <w:jc w:val="both"/>
        <w:textAlignment w:val="baseline"/>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oferta técnica – económica será presentada DE MANERA OBLIGATORIA en ORIGINAL Y COPIA  debidamente anillada, numerada y sumillada por el oferente, así como en medio digital, en archivo Excel la oferta económica (presupuesto de obra). Se presentará en la Dirección de Compras Públicas del GAD Municipal del cantón Cuenca, ubicada en la calle Sucre y Benigno Malo (Edificio Municipal) Séptimo Piso, de acuerdo al cronograma que consta en el presente pliego.  La apertura de las ofertas se realizará una hora más tarde de la hora prevista para la recepción de las mismas. El acto de apertura de ofertas será público y se efectuará en la Dirección de Compras Públicas de la Institución, ubicada en el séptimo piso del edificio Municipal.</w:t>
      </w:r>
    </w:p>
    <w:p>
      <w:pPr>
        <w:tabs>
          <w:tab w:val="left" w:pos="-720"/>
        </w:tabs>
        <w:suppressAutoHyphens/>
        <w:autoSpaceDN w:val="0"/>
        <w:spacing w:after="0" w:line="240" w:lineRule="auto"/>
        <w:jc w:val="both"/>
        <w:textAlignment w:val="baseline"/>
        <w:rPr>
          <w:rFonts w:ascii="Arial" w:hAnsi="Arial" w:eastAsia="Times New Roman" w:cs="Arial"/>
          <w:spacing w:val="-2"/>
          <w:sz w:val="20"/>
          <w:szCs w:val="20"/>
          <w:lang w:eastAsia="hi-IN" w:bidi="hi-IN"/>
        </w:rPr>
      </w:pPr>
    </w:p>
    <w:p>
      <w:pPr>
        <w:numPr>
          <w:ilvl w:val="0"/>
          <w:numId w:val="2"/>
        </w:numPr>
        <w:tabs>
          <w:tab w:val="left" w:pos="0"/>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oferta debe presentarse por la totalidad de los rubros de la contratación. La omisión de uno de los rubros será causa de rechazo.</w:t>
      </w:r>
    </w:p>
    <w:p>
      <w:pPr>
        <w:tabs>
          <w:tab w:val="left" w:pos="-540"/>
        </w:tabs>
        <w:suppressAutoHyphens/>
        <w:spacing w:after="0" w:line="240" w:lineRule="auto"/>
        <w:jc w:val="both"/>
        <w:rPr>
          <w:rFonts w:ascii="Arial" w:hAnsi="Arial" w:eastAsia="Times New Roman" w:cs="Arial"/>
          <w:spacing w:val="-2"/>
          <w:sz w:val="20"/>
          <w:szCs w:val="20"/>
          <w:lang w:eastAsia="hi-IN" w:bidi="hi-IN"/>
        </w:rPr>
      </w:pPr>
    </w:p>
    <w:p>
      <w:pPr>
        <w:suppressAutoHyphens/>
        <w:spacing w:after="0" w:line="240" w:lineRule="auto"/>
        <w:ind w:left="720"/>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el caso de producirse variaciones en los costos de los componentes de los precios unitarios estipulados en este contrato, los costos se reajustarán, para efectos del pago del anticipo y de las planillas de ejecución de obra, desde la fecha de variación, mediante la aplicación de la fórmula polinómica establecida en el contrato.</w:t>
      </w:r>
    </w:p>
    <w:p>
      <w:pPr>
        <w:suppressAutoHyphens/>
        <w:spacing w:after="0" w:line="240" w:lineRule="auto"/>
        <w:ind w:left="720"/>
        <w:rPr>
          <w:rFonts w:ascii="Arial" w:hAnsi="Arial" w:eastAsia="Times New Roman" w:cs="Arial"/>
          <w:spacing w:val="-2"/>
          <w:sz w:val="20"/>
          <w:szCs w:val="20"/>
          <w:lang w:bidi="hi-IN"/>
        </w:rPr>
      </w:pPr>
    </w:p>
    <w:p>
      <w:pPr>
        <w:numPr>
          <w:ilvl w:val="0"/>
          <w:numId w:val="2"/>
        </w:numPr>
        <w:tabs>
          <w:tab w:val="left" w:pos="426"/>
        </w:tabs>
        <w:suppressAutoHyphens/>
        <w:spacing w:after="0" w:line="240" w:lineRule="auto"/>
        <w:jc w:val="both"/>
        <w:rPr>
          <w:rFonts w:ascii="Arial" w:hAnsi="Arial" w:eastAsia="Times New Roman" w:cs="Arial"/>
          <w:spacing w:val="-2"/>
          <w:sz w:val="20"/>
          <w:szCs w:val="20"/>
          <w:lang w:bidi="hi-IN"/>
        </w:rPr>
      </w:pPr>
      <w:r>
        <w:rPr>
          <w:rFonts w:ascii="Arial" w:hAnsi="Arial" w:eastAsia="Times New Roman" w:cs="Arial"/>
          <w:spacing w:val="-2"/>
          <w:sz w:val="20"/>
          <w:szCs w:val="20"/>
          <w:lang w:bidi="hi-IN"/>
        </w:rPr>
        <w:t>La evaluación de las ofertas se realizará aplicando los parámetros de calificación previstos en el presente pliego.</w:t>
      </w:r>
    </w:p>
    <w:p>
      <w:pPr>
        <w:tabs>
          <w:tab w:val="left" w:pos="426"/>
        </w:tabs>
        <w:suppressAutoHyphens/>
        <w:spacing w:after="0" w:line="240" w:lineRule="auto"/>
        <w:ind w:left="720"/>
        <w:jc w:val="both"/>
        <w:rPr>
          <w:rFonts w:ascii="Arial" w:hAnsi="Arial" w:eastAsia="Times New Roman" w:cs="Arial"/>
          <w:spacing w:val="-2"/>
          <w:sz w:val="20"/>
          <w:szCs w:val="20"/>
          <w:lang w:eastAsia="hi-IN" w:bidi="hi-IN"/>
        </w:rPr>
      </w:pPr>
    </w:p>
    <w:p>
      <w:pPr>
        <w:numPr>
          <w:ilvl w:val="0"/>
          <w:numId w:val="2"/>
        </w:numPr>
        <w:tabs>
          <w:tab w:val="left" w:pos="426"/>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bidi="hi-IN"/>
        </w:rPr>
        <w:t xml:space="preserve">Los pagos del contrato se realizarán con cargo al financiamiento proveniente del </w:t>
      </w:r>
      <w:r>
        <w:rPr>
          <w:rFonts w:ascii="Arial" w:hAnsi="Arial" w:eastAsia="Times New Roman" w:cs="Arial"/>
          <w:sz w:val="20"/>
          <w:szCs w:val="20"/>
          <w:lang w:bidi="hi-IN"/>
        </w:rPr>
        <w:t xml:space="preserve">Banco de Desarrollo de América Latina </w:t>
      </w:r>
      <w:r>
        <w:rPr>
          <w:rFonts w:ascii="Arial" w:hAnsi="Arial" w:eastAsia="Times New Roman" w:cs="Arial"/>
          <w:spacing w:val="-2"/>
          <w:sz w:val="20"/>
          <w:szCs w:val="20"/>
          <w:lang w:bidi="hi-IN"/>
        </w:rPr>
        <w:t>– CAF relacionados con la partida presupuestaria Nº 7.3.36</w:t>
      </w:r>
      <w:r>
        <w:rPr>
          <w:rFonts w:ascii="Arial" w:hAnsi="Arial" w:eastAsia="Times New Roman" w:cs="Arial"/>
          <w:sz w:val="20"/>
          <w:szCs w:val="20"/>
          <w:lang w:bidi="hi-IN"/>
        </w:rPr>
        <w:t>.5.01.04.16.01 “Barrio para Mejor Vivir II”. La partida presupuestaria ha sido emitida por la totalidad de la contratación incluyéndose el 12% del IVA. Se</w:t>
      </w:r>
      <w:r>
        <w:rPr>
          <w:rFonts w:ascii="Arial" w:hAnsi="Arial" w:eastAsia="Times New Roman" w:cs="Arial"/>
          <w:spacing w:val="-2"/>
          <w:sz w:val="20"/>
          <w:szCs w:val="20"/>
          <w:lang w:bidi="hi-IN"/>
        </w:rPr>
        <w:t xml:space="preserve"> otorgará un anticipo del 30%; y el restante 70% de la siguiente manera: </w:t>
      </w:r>
    </w:p>
    <w:p>
      <w:pPr>
        <w:pStyle w:val="57"/>
        <w:rPr>
          <w:rFonts w:ascii="Arial" w:hAnsi="Arial" w:cs="Arial"/>
          <w:spacing w:val="-2"/>
          <w:sz w:val="20"/>
        </w:rPr>
      </w:pPr>
    </w:p>
    <w:p>
      <w:pPr>
        <w:tabs>
          <w:tab w:val="left" w:pos="426"/>
        </w:tabs>
        <w:suppressAutoHyphens/>
        <w:spacing w:after="0" w:line="240" w:lineRule="auto"/>
        <w:ind w:left="720"/>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0"/>
        </w:tabs>
        <w:suppressAutoHyphens/>
        <w:spacing w:after="0" w:line="240" w:lineRule="auto"/>
        <w:jc w:val="both"/>
        <w:rPr>
          <w:rFonts w:ascii="Arial" w:hAnsi="Arial" w:eastAsia="Times New Roman" w:cs="Arial"/>
          <w:spacing w:val="-2"/>
          <w:sz w:val="20"/>
          <w:szCs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r>
        <w:rPr>
          <w:rFonts w:ascii="Arial" w:hAnsi="Arial" w:eastAsia="Times New Roman" w:cs="Arial"/>
          <w:spacing w:val="-2"/>
          <w:sz w:val="20"/>
          <w:szCs w:val="20"/>
          <w:lang w:bidi="hi-IN"/>
        </w:rPr>
        <w:t>El procedimiento se ceñirá a las políticas de CAF, el Reglamento que rige los procesos que se desarrollan bajo el programa BARRIO PARA MEJOR VIVIR FASE II y a las disposiciones de la LOSNCP, su Reglamento General, las resoluciones del SERCOP en lo que fueren aplicables.</w:t>
      </w:r>
    </w:p>
    <w:p>
      <w:pPr>
        <w:tabs>
          <w:tab w:val="left" w:pos="0"/>
        </w:tabs>
        <w:suppressAutoHyphens/>
        <w:autoSpaceDN w:val="0"/>
        <w:spacing w:after="0" w:line="240" w:lineRule="auto"/>
        <w:ind w:left="720"/>
        <w:jc w:val="both"/>
        <w:textAlignment w:val="baseline"/>
        <w:rPr>
          <w:rFonts w:ascii="Arial" w:hAnsi="Arial" w:eastAsia="Times New Roman" w:cs="Arial"/>
          <w:i/>
          <w:spacing w:val="-2"/>
          <w:sz w:val="20"/>
          <w:szCs w:val="20"/>
          <w:lang w:eastAsia="hi-IN" w:bidi="hi-IN"/>
        </w:rPr>
      </w:pPr>
    </w:p>
    <w:p>
      <w:pPr>
        <w:numPr>
          <w:ilvl w:val="0"/>
          <w:numId w:val="2"/>
        </w:num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r>
        <w:rPr>
          <w:rFonts w:ascii="Arial" w:hAnsi="Arial" w:eastAsia="Times New Roman" w:cs="Arial"/>
          <w:spacing w:val="-2"/>
          <w:sz w:val="20"/>
          <w:szCs w:val="20"/>
          <w:lang w:bidi="hi-IN"/>
        </w:rPr>
        <w:t>El GAD MUNICIPAL DEL CANTON CUENCA, se reserva el derecho de cancelar o declarar desierto el procedimiento de contratación, situación en la que no habrá lugar a pago de indemnización alguna.</w:t>
      </w:r>
    </w:p>
    <w:p>
      <w:pPr>
        <w:pStyle w:val="57"/>
        <w:rPr>
          <w:rFonts w:ascii="Arial" w:hAnsi="Arial" w:cs="Arial"/>
          <w:i/>
          <w:spacing w:val="-2"/>
          <w:sz w:val="20"/>
        </w:rPr>
      </w:pPr>
    </w:p>
    <w:p>
      <w:pPr>
        <w:tabs>
          <w:tab w:val="left" w:pos="0"/>
        </w:tabs>
        <w:suppressAutoHyphens/>
        <w:autoSpaceDN w:val="0"/>
        <w:spacing w:after="0" w:line="240" w:lineRule="auto"/>
        <w:jc w:val="both"/>
        <w:textAlignment w:val="baseline"/>
        <w:rPr>
          <w:rFonts w:ascii="Arial" w:hAnsi="Arial" w:eastAsia="Times New Roman" w:cs="Arial"/>
          <w:i/>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4398"/>
        </w:tabs>
        <w:suppressAutoHyphens/>
        <w:spacing w:after="0" w:line="240" w:lineRule="auto"/>
        <w:jc w:val="both"/>
        <w:rPr>
          <w:rFonts w:ascii="Arial" w:hAnsi="Arial" w:eastAsia="Times New Roman" w:cs="Arial"/>
          <w:b/>
          <w:sz w:val="20"/>
          <w:szCs w:val="20"/>
          <w:lang w:bidi="hi-IN"/>
        </w:rPr>
      </w:pPr>
      <w:r>
        <w:rPr>
          <w:rFonts w:ascii="Arial" w:hAnsi="Arial" w:eastAsia="Times New Roman" w:cs="Arial"/>
          <w:i/>
          <w:spacing w:val="-2"/>
          <w:sz w:val="20"/>
          <w:szCs w:val="20"/>
          <w:lang w:eastAsia="hi-IN" w:bidi="hi-IN"/>
        </w:rPr>
        <w:t xml:space="preserve">Cuenca, </w:t>
      </w:r>
      <w:r>
        <w:rPr>
          <w:rFonts w:ascii="Arial" w:hAnsi="Arial" w:eastAsia="Times New Roman" w:cs="Arial"/>
          <w:i/>
          <w:spacing w:val="-2"/>
          <w:sz w:val="20"/>
          <w:szCs w:val="20"/>
          <w:lang w:val="es-EC" w:eastAsia="hi-IN" w:bidi="hi-IN"/>
        </w:rPr>
        <w:t>febrero</w:t>
      </w:r>
      <w:r>
        <w:rPr>
          <w:rFonts w:ascii="Arial" w:hAnsi="Arial" w:eastAsia="Times New Roman" w:cs="Arial"/>
          <w:sz w:val="20"/>
          <w:szCs w:val="20"/>
          <w:lang w:bidi="hi-IN"/>
        </w:rPr>
        <w:t xml:space="preserve"> de 2019</w:t>
      </w: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b/>
          <w:spacing w:val="-2"/>
          <w:sz w:val="20"/>
          <w:szCs w:val="20"/>
          <w:lang w:eastAsia="hi-IN" w:bidi="hi-IN"/>
        </w:rPr>
      </w:pPr>
    </w:p>
    <w:p>
      <w:pPr>
        <w:tabs>
          <w:tab w:val="center" w:pos="6378"/>
        </w:tabs>
        <w:suppressAutoHyphens/>
        <w:spacing w:after="0" w:line="240" w:lineRule="auto"/>
        <w:jc w:val="center"/>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________________________</w:t>
      </w:r>
    </w:p>
    <w:p>
      <w:pPr>
        <w:tabs>
          <w:tab w:val="left" w:pos="-540"/>
        </w:tabs>
        <w:suppressAutoHyphens/>
        <w:spacing w:after="60" w:line="240" w:lineRule="auto"/>
        <w:jc w:val="center"/>
        <w:rPr>
          <w:rFonts w:ascii="Arial" w:hAnsi="Arial" w:eastAsia="Calibri" w:cs="Arial"/>
          <w:b/>
          <w:bCs/>
          <w:sz w:val="20"/>
          <w:szCs w:val="20"/>
          <w:lang w:val="es-EC" w:eastAsia="ar-SA" w:bidi="hi-IN"/>
        </w:rPr>
      </w:pPr>
      <w:r>
        <w:rPr>
          <w:rFonts w:ascii="Arial" w:hAnsi="Arial" w:eastAsia="Calibri" w:cs="Arial"/>
          <w:b/>
          <w:bCs/>
          <w:sz w:val="20"/>
          <w:szCs w:val="20"/>
          <w:lang w:val="es-EC" w:eastAsia="ar-SA" w:bidi="hi-IN"/>
        </w:rPr>
        <w:t>Ab. Ruth Caldas Arias</w:t>
      </w:r>
    </w:p>
    <w:p>
      <w:pPr>
        <w:tabs>
          <w:tab w:val="left" w:pos="-540"/>
        </w:tabs>
        <w:suppressAutoHyphens/>
        <w:spacing w:after="60" w:line="240" w:lineRule="auto"/>
        <w:jc w:val="center"/>
        <w:rPr>
          <w:rFonts w:ascii="Arial" w:hAnsi="Arial" w:eastAsia="Times New Roman" w:cs="Arial"/>
          <w:i/>
          <w:sz w:val="20"/>
          <w:szCs w:val="20"/>
          <w:lang w:val="es-ES" w:eastAsia="hi-IN" w:bidi="hi-IN"/>
        </w:rPr>
      </w:pPr>
      <w:r>
        <w:rPr>
          <w:rFonts w:ascii="Arial" w:hAnsi="Arial" w:eastAsia="Calibri" w:cs="Arial"/>
          <w:b/>
          <w:sz w:val="20"/>
          <w:szCs w:val="20"/>
          <w:lang w:eastAsia="ar-SA" w:bidi="hi-IN"/>
        </w:rPr>
        <w:t>ALCALDE</w:t>
      </w:r>
      <w:r>
        <w:rPr>
          <w:rFonts w:ascii="Arial" w:hAnsi="Arial" w:eastAsia="Calibri" w:cs="Arial"/>
          <w:b/>
          <w:sz w:val="20"/>
          <w:szCs w:val="20"/>
          <w:lang w:val="es-EC" w:eastAsia="ar-SA" w:bidi="hi-IN"/>
        </w:rPr>
        <w:t>SA (S)</w:t>
      </w:r>
      <w:r>
        <w:rPr>
          <w:rFonts w:ascii="Arial" w:hAnsi="Arial" w:eastAsia="Calibri" w:cs="Arial"/>
          <w:b/>
          <w:sz w:val="20"/>
          <w:szCs w:val="20"/>
          <w:lang w:eastAsia="ar-SA" w:bidi="hi-IN"/>
        </w:rPr>
        <w:t xml:space="preserve"> DEL GAD MUNICIPAL DEL CANTÓN CUENCA</w:t>
      </w:r>
    </w:p>
    <w:p>
      <w:pPr>
        <w:tabs>
          <w:tab w:val="left" w:pos="180"/>
        </w:tabs>
        <w:suppressAutoHyphens/>
        <w:spacing w:after="0" w:line="240" w:lineRule="auto"/>
        <w:jc w:val="center"/>
        <w:rPr>
          <w:rFonts w:ascii="Arial" w:hAnsi="Arial" w:eastAsia="Times New Roman" w:cs="Arial"/>
          <w:b/>
          <w:spacing w:val="-3"/>
          <w:sz w:val="18"/>
          <w:lang w:val="es-ES"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tabs>
          <w:tab w:val="left" w:pos="180"/>
        </w:tabs>
        <w:suppressAutoHyphens/>
        <w:spacing w:after="0" w:line="240" w:lineRule="auto"/>
        <w:jc w:val="center"/>
        <w:rPr>
          <w:rFonts w:ascii="Arial" w:hAnsi="Arial" w:eastAsia="Times New Roman" w:cs="Arial"/>
          <w:b/>
          <w:spacing w:val="-3"/>
          <w:sz w:val="18"/>
          <w:lang w:eastAsia="hi-IN" w:bidi="hi-IN"/>
        </w:rPr>
      </w:pPr>
    </w:p>
    <w:p>
      <w:pP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br w:type="page"/>
      </w: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SECCIÓN II</w:t>
      </w:r>
    </w:p>
    <w:p>
      <w:pPr>
        <w:tabs>
          <w:tab w:val="left" w:pos="180"/>
        </w:tabs>
        <w:suppressAutoHyphens/>
        <w:spacing w:after="0" w:line="240" w:lineRule="auto"/>
        <w:jc w:val="center"/>
        <w:rPr>
          <w:rFonts w:ascii="Arial" w:hAnsi="Arial" w:eastAsia="Times New Roman" w:cs="Arial"/>
          <w:b/>
          <w:spacing w:val="-3"/>
          <w:szCs w:val="24"/>
          <w:lang w:eastAsia="hi-IN" w:bidi="hi-IN"/>
        </w:rPr>
      </w:pPr>
    </w:p>
    <w:p>
      <w:pPr>
        <w:tabs>
          <w:tab w:val="left" w:pos="180"/>
        </w:tabs>
        <w:suppressAutoHyphens/>
        <w:spacing w:after="0" w:line="240" w:lineRule="auto"/>
        <w:jc w:val="center"/>
        <w:rPr>
          <w:rFonts w:ascii="Arial" w:hAnsi="Arial" w:eastAsia="Times New Roman" w:cs="Arial"/>
          <w:b/>
          <w:spacing w:val="-3"/>
          <w:szCs w:val="24"/>
          <w:lang w:eastAsia="hi-IN" w:bidi="hi-IN"/>
        </w:rPr>
      </w:pPr>
      <w:r>
        <w:rPr>
          <w:rFonts w:ascii="Arial" w:hAnsi="Arial" w:eastAsia="Times New Roman" w:cs="Arial"/>
          <w:b/>
          <w:spacing w:val="-3"/>
          <w:szCs w:val="24"/>
          <w:lang w:eastAsia="hi-IN" w:bidi="hi-IN"/>
        </w:rPr>
        <w:t>OBJETO DE LA CONTRATACIÓN, PRESUPUESTO REFERENCIAL Y ESPECIFICACIONES TÉCNICAS</w:t>
      </w:r>
    </w:p>
    <w:p>
      <w:pPr>
        <w:tabs>
          <w:tab w:val="left" w:pos="180"/>
        </w:tabs>
        <w:suppressAutoHyphens/>
        <w:spacing w:after="0" w:line="240" w:lineRule="auto"/>
        <w:jc w:val="both"/>
        <w:rPr>
          <w:rFonts w:ascii="Arial" w:hAnsi="Arial" w:eastAsia="Times New Roman" w:cs="Arial"/>
          <w:b/>
          <w:spacing w:val="-2"/>
          <w:sz w:val="20"/>
          <w:lang w:eastAsia="hi-IN" w:bidi="hi-IN"/>
        </w:rPr>
      </w:pPr>
    </w:p>
    <w:p>
      <w:pPr>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2.1.</w:t>
      </w:r>
      <w:r>
        <w:rPr>
          <w:rFonts w:ascii="Arial" w:hAnsi="Arial" w:eastAsia="Times New Roman" w:cs="Arial"/>
          <w:b/>
          <w:spacing w:val="-2"/>
          <w:sz w:val="20"/>
          <w:szCs w:val="20"/>
          <w:lang w:eastAsia="hi-IN" w:bidi="hi-IN"/>
        </w:rPr>
        <w:tab/>
      </w:r>
      <w:r>
        <w:rPr>
          <w:rFonts w:ascii="Arial" w:hAnsi="Arial" w:eastAsia="Times New Roman" w:cs="Arial"/>
          <w:b/>
          <w:spacing w:val="-2"/>
          <w:sz w:val="20"/>
          <w:szCs w:val="20"/>
          <w:lang w:eastAsia="hi-IN" w:bidi="hi-IN"/>
        </w:rPr>
        <w:t xml:space="preserve">Objeto: </w:t>
      </w:r>
      <w:r>
        <w:rPr>
          <w:rFonts w:ascii="Arial" w:hAnsi="Arial" w:eastAsia="Times New Roman" w:cs="Arial"/>
          <w:spacing w:val="-2"/>
          <w:sz w:val="20"/>
          <w:szCs w:val="20"/>
          <w:lang w:eastAsia="hi-IN" w:bidi="hi-IN"/>
        </w:rPr>
        <w:t xml:space="preserve">Este procedimiento precontractual tiene como propósito seleccionar a la oferta de obra de mejor costo, para la ejecución de: </w:t>
      </w:r>
      <w:r>
        <w:rPr>
          <w:rFonts w:ascii="Arial" w:hAnsi="Arial" w:eastAsia="Times New Roman" w:cs="Arial"/>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w:t>
      </w:r>
      <w:r>
        <w:rPr>
          <w:rFonts w:ascii="Arial" w:hAnsi="Arial" w:eastAsia="Times New Roman" w:cs="Arial"/>
          <w:spacing w:val="-2"/>
          <w:sz w:val="20"/>
          <w:szCs w:val="20"/>
          <w:lang w:eastAsia="hi-IN" w:bidi="hi-IN"/>
        </w:rPr>
        <w:t>;</w:t>
      </w:r>
      <w:r>
        <w:rPr>
          <w:rFonts w:ascii="Arial" w:hAnsi="Arial" w:eastAsia="Times New Roman" w:cs="Arial"/>
          <w:bCs/>
          <w:caps/>
          <w:sz w:val="20"/>
          <w:szCs w:val="20"/>
          <w:lang w:eastAsia="hi-IN" w:bidi="hi-IN"/>
        </w:rPr>
        <w:t xml:space="preserve"> SIN NOMBRE Y HORACION ENTRE JULIO VERNE Y HORACIO (FILO DE PAVIMENTO) </w:t>
      </w:r>
      <w:r>
        <w:rPr>
          <w:rFonts w:ascii="Arial" w:hAnsi="Arial" w:eastAsia="Times New Roman" w:cs="Arial"/>
          <w:spacing w:val="-2"/>
          <w:sz w:val="20"/>
          <w:szCs w:val="20"/>
          <w:lang w:eastAsia="hi-IN" w:bidi="hi-IN"/>
        </w:rPr>
        <w:t>con una longitud aproximada de 135  metros la calle HONORATO DE BALZAC, 387 metros las calles FERNAN CABALLERO Y SIN NOMBRE; y 168 metros las calles SIN NOMBRE Y HORACIO; todas ubicadas en la parroquia Huaynacapac, las mismas que contemplan los siguientes trabajos:</w:t>
      </w: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20"/>
          <w:szCs w:val="20"/>
          <w:lang w:val="es-ES" w:eastAsia="hi-IN" w:bidi="hi-IN"/>
        </w:rPr>
      </w:pPr>
      <w:r>
        <w:rPr>
          <w:rFonts w:ascii="Arial" w:hAnsi="Arial" w:eastAsia="Times New Roman" w:cs="Arial"/>
          <w:bCs/>
          <w:sz w:val="20"/>
          <w:szCs w:val="20"/>
          <w:lang w:eastAsia="hi-IN" w:bidi="hi-IN"/>
        </w:rPr>
        <w:t>Obras Hidrosanitarias, Muros, Veredas, Bordillos, Canalización Telefónica, Canalización Eléctrica, Pavimento Flexible, Señalización, Mitigación De Impactos Ambientales y Muro de Contención.</w:t>
      </w:r>
    </w:p>
    <w:p>
      <w:pPr>
        <w:suppressAutoHyphens/>
        <w:spacing w:after="0" w:line="240" w:lineRule="auto"/>
        <w:jc w:val="both"/>
        <w:rPr>
          <w:rFonts w:ascii="Arial" w:hAnsi="Arial" w:eastAsia="Times New Roman" w:cs="Arial"/>
          <w:b/>
          <w:sz w:val="20"/>
          <w:szCs w:val="20"/>
          <w:lang w:val="es-ES" w:bidi="hi-IN"/>
        </w:rPr>
      </w:pPr>
    </w:p>
    <w:p>
      <w:pPr>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b/>
          <w:sz w:val="20"/>
          <w:szCs w:val="20"/>
          <w:lang w:eastAsia="hi-IN" w:bidi="hi-IN"/>
        </w:rPr>
        <w:t>2.2.</w:t>
      </w:r>
      <w:r>
        <w:rPr>
          <w:rFonts w:ascii="Arial" w:hAnsi="Arial" w:eastAsia="Times New Roman" w:cs="Arial"/>
          <w:b/>
          <w:sz w:val="20"/>
          <w:szCs w:val="20"/>
          <w:lang w:eastAsia="hi-IN" w:bidi="hi-IN"/>
        </w:rPr>
        <w:tab/>
      </w:r>
      <w:r>
        <w:rPr>
          <w:rFonts w:ascii="Arial" w:hAnsi="Arial" w:eastAsia="Times New Roman" w:cs="Arial"/>
          <w:b/>
          <w:sz w:val="20"/>
          <w:szCs w:val="20"/>
          <w:lang w:eastAsia="hi-IN" w:bidi="hi-IN"/>
        </w:rPr>
        <w:t>Presupuesto referencial</w:t>
      </w:r>
      <w:r>
        <w:rPr>
          <w:rFonts w:ascii="Arial" w:hAnsi="Arial" w:eastAsia="Times New Roman" w:cs="Arial"/>
          <w:b/>
          <w:spacing w:val="-3"/>
          <w:sz w:val="20"/>
          <w:szCs w:val="20"/>
          <w:lang w:eastAsia="hi-IN" w:bidi="hi-IN"/>
        </w:rPr>
        <w:t xml:space="preserve">: </w:t>
      </w:r>
      <w:r>
        <w:rPr>
          <w:rFonts w:ascii="Arial" w:hAnsi="Arial" w:eastAsia="Times New Roman" w:cs="Arial"/>
          <w:spacing w:val="-3"/>
          <w:sz w:val="20"/>
          <w:szCs w:val="20"/>
          <w:lang w:eastAsia="hi-IN" w:bidi="hi-IN"/>
        </w:rPr>
        <w:t>El presupuesto referencial es de USD 544,286.65 (QUINIENTOS CUARENTA Y CUATRO MIL DOSCIENTOS OCHENTA Y SEIS CON 65/100 DOLARES DE ESTADOS UNIDOS DE AMERICA), NO INCLUYE IVA.</w:t>
      </w: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HONORATO DE BALZAC ENTRE CIRCUNVALACIÓN SUR Y FERNAN CABALLERO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63"/>
        <w:gridCol w:w="4757"/>
        <w:gridCol w:w="762"/>
        <w:gridCol w:w="902"/>
        <w:gridCol w:w="965"/>
        <w:gridCol w:w="986"/>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63"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5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159.58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61.09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a 2 m, incluye encofrado metálico, excluye tapa, cerco y/o brocal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3,502.25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39.43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18.49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272.72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2,909.92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90.22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210.53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132.46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232.78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2,416.45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143.67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164.71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658.85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81.27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19.68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96.86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8,317.96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672.33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599.60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253.97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6,055.96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725.63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8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65"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129,838.82</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FERNAN CABALLERO Y SIN NOMBRE ENTRE HONORATO DE BALZAC Y RETORNO DE LA FERNAN CABALLERO</w:t>
      </w:r>
    </w:p>
    <w:p>
      <w:pPr>
        <w:suppressAutoHyphens/>
        <w:spacing w:after="0" w:line="240" w:lineRule="auto"/>
        <w:jc w:val="both"/>
        <w:rPr>
          <w:rFonts w:ascii="Arial" w:hAnsi="Arial" w:eastAsia="Times New Roman" w:cs="Arial"/>
          <w:b/>
          <w:sz w:val="18"/>
          <w:lang w:eastAsia="hi-IN" w:bidi="hi-IN"/>
        </w:rPr>
      </w:pPr>
    </w:p>
    <w:tbl>
      <w:tblPr>
        <w:tblStyle w:val="46"/>
        <w:tblW w:w="9370" w:type="dxa"/>
        <w:tblInd w:w="0" w:type="dxa"/>
        <w:tblLayout w:type="fixed"/>
        <w:tblCellMar>
          <w:top w:w="0" w:type="dxa"/>
          <w:left w:w="70" w:type="dxa"/>
          <w:bottom w:w="0" w:type="dxa"/>
          <w:right w:w="70" w:type="dxa"/>
        </w:tblCellMar>
      </w:tblPr>
      <w:tblGrid>
        <w:gridCol w:w="936"/>
        <w:gridCol w:w="4724"/>
        <w:gridCol w:w="772"/>
        <w:gridCol w:w="937"/>
        <w:gridCol w:w="980"/>
        <w:gridCol w:w="1021"/>
      </w:tblGrid>
      <w:tr>
        <w:tblPrEx>
          <w:tblLayout w:type="fixed"/>
          <w:tblCellMar>
            <w:top w:w="0" w:type="dxa"/>
            <w:left w:w="70" w:type="dxa"/>
            <w:bottom w:w="0" w:type="dxa"/>
            <w:right w:w="70" w:type="dxa"/>
          </w:tblCellMar>
        </w:tblPrEx>
        <w:trPr>
          <w:trHeight w:val="270" w:hRule="atLeast"/>
        </w:trPr>
        <w:tc>
          <w:tcPr>
            <w:tcW w:w="9370"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3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24"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7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386.18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106.46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156.47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625.89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63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110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48.53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890.87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10,269.82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0.09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1,323.42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31.28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2,818.65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727.24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130.68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449.69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4,668.07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449.31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795.20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232.97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832.05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277.67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19.93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10,039.40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320.10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414.70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5,758.50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1,924.37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2,243.81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1,019.26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22,662.48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2,080.13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369"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80"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310,124.36</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SIN NOMBRE Y HORACIO ENTRE JULIO VERNE Y HORACIO (FILO DE PAVIMENTO)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7"/>
        <w:gridCol w:w="849"/>
        <w:gridCol w:w="851"/>
        <w:gridCol w:w="991"/>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182.78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Codo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m, incluye encofrado metálico, excluye tapa, cerco y/o brocal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257.79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2,975.56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CANALIZACIÓN TELEFONICA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858.61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ILUMINACIÓN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131.57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1,762.46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379.97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254.58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2,642.72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costureada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292.41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194.60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2,609.64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PAVIMENTACIÓN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791.46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251.84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7,993.75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517.09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ARBORIZACIÓN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tierra vegetal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Siembra de kikuyo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6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9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104,323.47</w:t>
            </w: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bCs/>
          <w:sz w:val="20"/>
          <w:szCs w:val="20"/>
          <w:lang w:val="es-ES" w:eastAsia="hi-IN" w:bidi="hi-IN"/>
        </w:rPr>
        <w:t>2.3.</w:t>
      </w:r>
      <w:r>
        <w:rPr>
          <w:rFonts w:ascii="Arial" w:hAnsi="Arial" w:eastAsia="Times New Roman" w:cs="Arial"/>
          <w:b/>
          <w:bCs/>
          <w:sz w:val="20"/>
          <w:szCs w:val="20"/>
          <w:lang w:val="es-ES" w:eastAsia="hi-IN" w:bidi="hi-IN"/>
        </w:rPr>
        <w:tab/>
      </w:r>
      <w:r>
        <w:rPr>
          <w:rFonts w:ascii="Arial" w:hAnsi="Arial" w:eastAsia="Times New Roman" w:cs="Arial"/>
          <w:b/>
          <w:bCs/>
          <w:sz w:val="20"/>
          <w:szCs w:val="20"/>
          <w:lang w:val="es-ES" w:eastAsia="hi-IN" w:bidi="hi-IN"/>
        </w:rPr>
        <w:t xml:space="preserve">Especificaciones técnicas: </w:t>
      </w:r>
      <w:r>
        <w:rPr>
          <w:rFonts w:ascii="Arial" w:hAnsi="Arial" w:eastAsia="Times New Roman" w:cs="Arial"/>
          <w:sz w:val="20"/>
          <w:szCs w:val="20"/>
          <w:lang w:val="es-ES" w:eastAsia="hi-IN" w:bidi="hi-IN"/>
        </w:rPr>
        <w:t>Se incluyen las especificaciones técnicas del proyecto, considerando todos los rubros a contratarse; los estudios y diseños previos, completos, definitivos y actualizados correspondientes; y, los estudios de prevención/mitigación de impactos ambientales.</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b/>
          <w:sz w:val="20"/>
          <w:szCs w:val="20"/>
          <w:lang w:bidi="hi-IN"/>
        </w:rPr>
      </w:pPr>
      <w:r>
        <w:rPr>
          <w:rFonts w:ascii="Arial" w:hAnsi="Arial" w:eastAsia="Times New Roman" w:cs="Arial"/>
          <w:b/>
          <w:sz w:val="20"/>
          <w:szCs w:val="20"/>
          <w:lang w:val="es-ES" w:eastAsia="hi-IN" w:bidi="hi-IN"/>
        </w:rPr>
        <w:t xml:space="preserve">LAS ESPECIFICACIONES TÉCNICAS del presente proceso se encuentran como anexo de estos pliegos en la página </w:t>
      </w:r>
      <w:r>
        <w:fldChar w:fldCharType="begin"/>
      </w:r>
      <w:r>
        <w:instrText xml:space="preserve"> HYPERLINK "http://www.cuenca.gob.ec" </w:instrText>
      </w:r>
      <w:r>
        <w:fldChar w:fldCharType="separate"/>
      </w:r>
      <w:r>
        <w:rPr>
          <w:rStyle w:val="42"/>
          <w:rFonts w:ascii="Arial" w:hAnsi="Arial" w:eastAsia="Times New Roman" w:cs="Arial"/>
          <w:b/>
          <w:color w:val="auto"/>
          <w:sz w:val="20"/>
          <w:szCs w:val="20"/>
          <w:lang w:val="es-ES" w:eastAsia="hi-IN" w:bidi="hi-IN"/>
        </w:rPr>
        <w:t>www.cuenca.gob.ec</w:t>
      </w:r>
      <w:r>
        <w:rPr>
          <w:rStyle w:val="42"/>
          <w:rFonts w:ascii="Arial" w:hAnsi="Arial" w:eastAsia="Times New Roman" w:cs="Arial"/>
          <w:b/>
          <w:color w:val="auto"/>
          <w:sz w:val="20"/>
          <w:szCs w:val="20"/>
          <w:lang w:val="es-ES" w:eastAsia="hi-IN" w:bidi="hi-IN"/>
        </w:rPr>
        <w:fldChar w:fldCharType="end"/>
      </w:r>
      <w:r>
        <w:rPr>
          <w:rFonts w:ascii="Arial" w:hAnsi="Arial" w:eastAsia="Times New Roman" w:cs="Arial"/>
          <w:b/>
          <w:sz w:val="20"/>
          <w:szCs w:val="20"/>
          <w:lang w:val="es-ES" w:eastAsia="hi-IN" w:bidi="hi-IN"/>
        </w:rPr>
        <w:t xml:space="preserve"> en la Sección Convocatoria CAF “Barrio para mejor Vivir Fase II”</w:t>
      </w:r>
      <w:r>
        <w:rPr>
          <w:rFonts w:ascii="Arial" w:hAnsi="Arial" w:eastAsia="Calibri" w:cs="Arial"/>
          <w:b/>
          <w:spacing w:val="-2"/>
          <w:sz w:val="20"/>
          <w:szCs w:val="20"/>
          <w:lang w:eastAsia="hi-IN" w:bidi="hi-IN"/>
        </w:rPr>
        <w:t>; si el tamaño del archivo supera la capacidad de almacenamiento prevista en el portal, estarán a disposición de los proveedores interesados en forma magnética</w:t>
      </w:r>
      <w:r>
        <w:rPr>
          <w:rFonts w:ascii="Arial" w:hAnsi="Arial" w:eastAsia="Calibri" w:cs="Arial"/>
          <w:b/>
          <w:sz w:val="20"/>
          <w:szCs w:val="20"/>
          <w:lang w:eastAsia="hi-IN" w:bidi="hi-IN"/>
        </w:rPr>
        <w:t xml:space="preserve">, </w:t>
      </w:r>
      <w:r>
        <w:rPr>
          <w:rFonts w:ascii="Arial" w:hAnsi="Arial" w:eastAsia="Calibri" w:cs="Arial"/>
          <w:b/>
          <w:spacing w:val="-2"/>
          <w:sz w:val="20"/>
          <w:szCs w:val="20"/>
          <w:lang w:eastAsia="hi-IN" w:bidi="hi-IN"/>
        </w:rPr>
        <w:t xml:space="preserve">en la Dirección de </w:t>
      </w:r>
      <w:r>
        <w:rPr>
          <w:rFonts w:ascii="Arial" w:hAnsi="Arial" w:eastAsia="Times New Roman" w:cs="Arial"/>
          <w:b/>
          <w:spacing w:val="-2"/>
          <w:sz w:val="20"/>
          <w:szCs w:val="20"/>
          <w:lang w:eastAsia="hi-IN" w:bidi="hi-IN"/>
        </w:rPr>
        <w:t>Compras Públicas del GAD Municipal del cantón Cuenca, ubicada en la calle Sucre y Benigno Malo (Edificio Municipal) Séptimo Piso.</w:t>
      </w:r>
    </w:p>
    <w:p>
      <w:pPr>
        <w:tabs>
          <w:tab w:val="left" w:pos="1620"/>
        </w:tabs>
        <w:suppressAutoHyphens/>
        <w:spacing w:after="0" w:line="240" w:lineRule="auto"/>
        <w:jc w:val="both"/>
        <w:rPr>
          <w:rFonts w:ascii="Arial" w:hAnsi="Arial" w:eastAsia="Times New Roman" w:cs="Arial"/>
          <w:spacing w:val="-2"/>
          <w:sz w:val="20"/>
          <w:szCs w:val="20"/>
          <w:lang w:eastAsia="hi-IN" w:bidi="hi-IN"/>
        </w:rPr>
      </w:pPr>
    </w:p>
    <w:p>
      <w:pPr>
        <w:tabs>
          <w:tab w:val="left" w:pos="1620"/>
        </w:tabs>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pacing w:val="-3"/>
          <w:sz w:val="20"/>
          <w:szCs w:val="20"/>
          <w:lang w:eastAsia="hi-IN" w:bidi="hi-IN"/>
        </w:rPr>
        <w:t xml:space="preserve">2.3.1 Planos del área intervenida: </w:t>
      </w:r>
      <w:r>
        <w:rPr>
          <w:rFonts w:ascii="Arial" w:hAnsi="Arial" w:eastAsia="Times New Roman" w:cs="Arial"/>
          <w:sz w:val="20"/>
          <w:szCs w:val="20"/>
          <w:lang w:eastAsia="hi-IN" w:bidi="hi-IN"/>
        </w:rPr>
        <w:t>Los planos completos son parte del pliego, y se publicarán en el Portal web de la entidad contratante, como un anexo y estarán a disposición de los proveedores interesados en forma magnética.</w:t>
      </w:r>
    </w:p>
    <w:p>
      <w:pPr>
        <w:tabs>
          <w:tab w:val="left" w:pos="1620"/>
        </w:tabs>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i/>
          <w:spacing w:val="-3"/>
          <w:sz w:val="20"/>
          <w:szCs w:val="20"/>
          <w:lang w:eastAsia="hi-IN" w:bidi="hi-IN"/>
        </w:rPr>
      </w:pPr>
      <w:r>
        <w:rPr>
          <w:rFonts w:ascii="Arial" w:hAnsi="Arial" w:eastAsia="Times New Roman" w:cs="Arial"/>
          <w:b/>
          <w:spacing w:val="-3"/>
          <w:sz w:val="20"/>
          <w:szCs w:val="20"/>
          <w:lang w:eastAsia="hi-IN" w:bidi="hi-IN"/>
        </w:rPr>
        <w:t>2.3.2.</w:t>
      </w:r>
      <w:r>
        <w:rPr>
          <w:rFonts w:ascii="Arial" w:hAnsi="Arial" w:eastAsia="Times New Roman" w:cs="Arial"/>
          <w:b/>
          <w:spacing w:val="-3"/>
          <w:sz w:val="20"/>
          <w:szCs w:val="20"/>
          <w:lang w:eastAsia="hi-IN" w:bidi="hi-IN"/>
        </w:rPr>
        <w:tab/>
      </w:r>
      <w:r>
        <w:rPr>
          <w:rFonts w:ascii="Arial" w:hAnsi="Arial" w:eastAsia="Times New Roman" w:cs="Arial"/>
          <w:b/>
          <w:spacing w:val="-3"/>
          <w:sz w:val="20"/>
          <w:szCs w:val="20"/>
          <w:lang w:eastAsia="hi-IN" w:bidi="hi-IN"/>
        </w:rPr>
        <w:t xml:space="preserve">Equipo mínimo: </w:t>
      </w:r>
      <w:r>
        <w:rPr>
          <w:rFonts w:ascii="Arial" w:hAnsi="Arial" w:eastAsia="Times New Roman" w:cs="Arial"/>
          <w:spacing w:val="-3"/>
          <w:sz w:val="20"/>
          <w:szCs w:val="20"/>
          <w:lang w:eastAsia="hi-IN" w:bidi="hi-IN"/>
        </w:rPr>
        <w:t>Para la ejecución de la obra, materia del presente procedimiento, el Contratista deberá contar mínimo con el siguiente equipo</w:t>
      </w:r>
      <w:r>
        <w:rPr>
          <w:rFonts w:ascii="Arial" w:hAnsi="Arial" w:eastAsia="Times New Roman" w:cs="Arial"/>
          <w:i/>
          <w:spacing w:val="-3"/>
          <w:sz w:val="20"/>
          <w:szCs w:val="20"/>
          <w:lang w:eastAsia="hi-IN" w:bidi="hi-IN"/>
        </w:rPr>
        <w:t>.</w:t>
      </w:r>
    </w:p>
    <w:p>
      <w:pPr>
        <w:suppressAutoHyphens/>
        <w:spacing w:after="0" w:line="240" w:lineRule="auto"/>
        <w:jc w:val="both"/>
        <w:rPr>
          <w:rFonts w:ascii="Arial" w:hAnsi="Arial" w:eastAsia="Times New Roman" w:cs="Arial"/>
          <w:i/>
          <w:spacing w:val="-3"/>
          <w:sz w:val="20"/>
          <w:szCs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val="pt-BR" w:eastAsia="hi-IN" w:bidi="hi-IN"/>
              </w:rPr>
              <w:t>Descripción 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szCs w:val="20"/>
                <w:lang w:eastAsia="hi-IN" w:bidi="hi-IN"/>
              </w:rPr>
            </w:pPr>
            <w:r>
              <w:rPr>
                <w:rFonts w:ascii="Arial" w:hAnsi="Arial" w:eastAsia="Times New Roman" w:cs="Arial"/>
                <w:b/>
                <w:sz w:val="20"/>
                <w:szCs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szCs w:val="20"/>
                <w:highlight w:val="yellow"/>
                <w:lang w:eastAsia="hi-IN" w:bidi="hi-IN"/>
              </w:rPr>
            </w:pPr>
            <w:r>
              <w:rPr>
                <w:rFonts w:ascii="Arial" w:hAnsi="Arial" w:eastAsia="Times New Roman" w:cs="Arial"/>
                <w:sz w:val="20"/>
                <w:szCs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bCs/>
                <w:spacing w:val="-3"/>
                <w:sz w:val="20"/>
                <w:szCs w:val="20"/>
                <w:lang w:eastAsia="hi-IN" w:bidi="hi-IN"/>
              </w:rPr>
              <w:t xml:space="preserve">Minicargadora  con </w:t>
            </w:r>
            <w:r>
              <w:rPr>
                <w:rFonts w:ascii="Arial" w:hAnsi="Arial" w:eastAsia="Times New Roman" w:cs="Arial"/>
                <w:sz w:val="20"/>
                <w:szCs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szCs w:val="20"/>
                <w:lang w:eastAsia="hi-IN" w:bidi="hi-IN"/>
              </w:rPr>
            </w:pPr>
            <w:r>
              <w:rPr>
                <w:rFonts w:ascii="Arial" w:hAnsi="Arial" w:eastAsia="Times New Roman" w:cs="Arial"/>
                <w:bCs/>
                <w:spacing w:val="-3"/>
                <w:sz w:val="20"/>
                <w:szCs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highlight w:val="yellow"/>
                <w:lang w:val="es-ES" w:eastAsia="es-ES" w:bidi="hi-IN"/>
              </w:rPr>
            </w:pPr>
            <w:r>
              <w:rPr>
                <w:rFonts w:ascii="Arial" w:hAnsi="Arial" w:eastAsia="Times New Roman" w:cs="Arial"/>
                <w:sz w:val="20"/>
                <w:szCs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szCs w:val="20"/>
                <w:lang w:val="es-ES" w:eastAsia="es-ES" w:bidi="hi-IN"/>
              </w:rPr>
            </w:pPr>
            <w:r>
              <w:rPr>
                <w:rFonts w:ascii="Arial" w:hAnsi="Arial" w:eastAsia="Times New Roman" w:cs="Arial"/>
                <w:sz w:val="20"/>
                <w:szCs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szCs w:val="20"/>
                <w:lang w:eastAsia="hi-IN" w:bidi="hi-IN"/>
              </w:rPr>
            </w:pPr>
            <w:r>
              <w:rPr>
                <w:rFonts w:ascii="Arial" w:hAnsi="Arial" w:eastAsia="Times New Roman" w:cs="Arial"/>
                <w:bCs/>
                <w:spacing w:val="-3"/>
                <w:sz w:val="20"/>
                <w:szCs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Eléctrico o a gasolina</w:t>
            </w:r>
          </w:p>
        </w:tc>
      </w:tr>
    </w:tbl>
    <w:p>
      <w:pPr>
        <w:tabs>
          <w:tab w:val="left" w:pos="3196"/>
        </w:tabs>
        <w:suppressAutoHyphens/>
        <w:spacing w:after="0" w:line="240" w:lineRule="auto"/>
        <w:rPr>
          <w:rFonts w:ascii="Arial" w:hAnsi="Arial" w:eastAsia="Times New Roman" w:cs="Arial"/>
          <w:b/>
          <w:sz w:val="20"/>
          <w:szCs w:val="24"/>
          <w:lang w:eastAsia="hi-IN" w:bidi="hi-IN"/>
        </w:rPr>
      </w:pPr>
    </w:p>
    <w:p>
      <w:pPr>
        <w:jc w:val="center"/>
        <w:rPr>
          <w:rFonts w:ascii="Arial" w:hAnsi="Arial" w:eastAsia="Times New Roman" w:cs="Arial"/>
          <w:b/>
          <w:sz w:val="20"/>
          <w:szCs w:val="24"/>
          <w:lang w:eastAsia="hi-IN" w:bidi="hi-IN"/>
        </w:rPr>
      </w:pPr>
      <w:r>
        <w:rPr>
          <w:rFonts w:ascii="Arial" w:hAnsi="Arial" w:cs="Arial"/>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r>
        <w:rPr>
          <w:rFonts w:ascii="Arial" w:hAnsi="Arial" w:eastAsia="Times New Roman" w:cs="Arial"/>
          <w:b/>
          <w:sz w:val="20"/>
          <w:szCs w:val="24"/>
          <w:lang w:eastAsia="hi-IN" w:bidi="hi-IN"/>
        </w:rPr>
        <w:br w:type="page"/>
      </w:r>
    </w:p>
    <w:p>
      <w:pPr>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SECCION III</w:t>
      </w:r>
    </w:p>
    <w:p>
      <w:pPr>
        <w:tabs>
          <w:tab w:val="left" w:pos="3196"/>
        </w:tabs>
        <w:suppressAutoHyphens/>
        <w:spacing w:after="0" w:line="240" w:lineRule="auto"/>
        <w:jc w:val="center"/>
        <w:rPr>
          <w:rFonts w:ascii="Arial" w:hAnsi="Arial" w:eastAsia="Times New Roman" w:cs="Arial"/>
          <w:b/>
          <w:sz w:val="20"/>
          <w:szCs w:val="24"/>
          <w:lang w:eastAsia="hi-IN" w:bidi="hi-IN"/>
        </w:rPr>
      </w:pPr>
    </w:p>
    <w:p>
      <w:pPr>
        <w:tabs>
          <w:tab w:val="left" w:pos="3196"/>
        </w:tabs>
        <w:suppressAutoHyphens/>
        <w:spacing w:after="0" w:line="240" w:lineRule="auto"/>
        <w:jc w:val="center"/>
        <w:rPr>
          <w:rFonts w:ascii="Arial" w:hAnsi="Arial" w:eastAsia="Times New Roman" w:cs="Arial"/>
          <w:b/>
          <w:sz w:val="20"/>
          <w:szCs w:val="24"/>
          <w:lang w:eastAsia="hi-IN" w:bidi="hi-IN"/>
        </w:rPr>
      </w:pPr>
      <w:r>
        <w:rPr>
          <w:rFonts w:ascii="Arial" w:hAnsi="Arial" w:eastAsia="Times New Roman" w:cs="Arial"/>
          <w:b/>
          <w:sz w:val="20"/>
          <w:szCs w:val="24"/>
          <w:lang w:eastAsia="hi-IN" w:bidi="hi-IN"/>
        </w:rPr>
        <w:t>CONDICIONES DEL PROCEDIMIENTO</w:t>
      </w:r>
    </w:p>
    <w:p>
      <w:pPr>
        <w:tabs>
          <w:tab w:val="left" w:pos="3196"/>
        </w:tabs>
        <w:suppressAutoHyphens/>
        <w:spacing w:after="0" w:line="240" w:lineRule="auto"/>
        <w:jc w:val="center"/>
        <w:rPr>
          <w:rFonts w:ascii="Arial" w:hAnsi="Arial" w:eastAsia="Times New Roman" w:cs="Arial"/>
          <w:sz w:val="18"/>
          <w:lang w:eastAsia="hi-IN" w:bidi="hi-IN"/>
        </w:rPr>
      </w:pPr>
    </w:p>
    <w:p>
      <w:pPr>
        <w:suppressAutoHyphens/>
        <w:spacing w:after="0" w:line="240" w:lineRule="auto"/>
        <w:jc w:val="both"/>
        <w:rPr>
          <w:rFonts w:ascii="Arial" w:hAnsi="Arial" w:eastAsia="Times New Roman" w:cs="Arial"/>
          <w:i/>
          <w:iCs/>
          <w:sz w:val="18"/>
          <w:u w:val="single"/>
          <w:lang w:eastAsia="hi-IN" w:bidi="hi-IN"/>
        </w:rPr>
      </w:pPr>
      <w:r>
        <w:rPr>
          <w:rFonts w:ascii="Arial" w:hAnsi="Arial" w:eastAsia="Times New Roman" w:cs="Arial"/>
          <w:b/>
          <w:sz w:val="18"/>
          <w:lang w:eastAsia="hi-IN" w:bidi="hi-IN"/>
        </w:rPr>
        <w:t>3.1</w:t>
      </w:r>
      <w:r>
        <w:rPr>
          <w:rFonts w:ascii="Arial" w:hAnsi="Arial" w:eastAsia="Times New Roman" w:cs="Arial"/>
          <w:b/>
          <w:sz w:val="18"/>
          <w:lang w:eastAsia="hi-IN" w:bidi="hi-IN"/>
        </w:rPr>
        <w:tab/>
      </w:r>
      <w:r>
        <w:rPr>
          <w:rFonts w:ascii="Arial" w:hAnsi="Arial" w:eastAsia="Times New Roman" w:cs="Arial"/>
          <w:b/>
          <w:sz w:val="18"/>
          <w:lang w:eastAsia="hi-IN" w:bidi="hi-IN"/>
        </w:rPr>
        <w:t xml:space="preserve">Cronograma del procedimiento: </w:t>
      </w:r>
      <w:r>
        <w:rPr>
          <w:rFonts w:ascii="Arial" w:hAnsi="Arial" w:eastAsia="Times New Roman" w:cs="Arial"/>
          <w:sz w:val="18"/>
          <w:lang w:eastAsia="hi-IN" w:bidi="hi-IN"/>
        </w:rPr>
        <w:t>El cronograma que regirá el procedimiento será el siguiente:</w:t>
      </w: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sz w:val="18"/>
          <w:lang w:eastAsia="hi-IN" w:bidi="hi-IN"/>
        </w:rPr>
        <w:t xml:space="preserve"> </w:t>
      </w:r>
    </w:p>
    <w:tbl>
      <w:tblPr>
        <w:tblStyle w:val="46"/>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7"/>
        <w:gridCol w:w="2872"/>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837"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Concepto</w:t>
            </w:r>
          </w:p>
        </w:tc>
        <w:tc>
          <w:tcPr>
            <w:tcW w:w="2872"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Día</w:t>
            </w:r>
          </w:p>
        </w:tc>
        <w:tc>
          <w:tcPr>
            <w:tcW w:w="1310" w:type="dxa"/>
            <w:shd w:val="clear" w:color="auto" w:fill="D9D9D9"/>
            <w:vAlign w:val="center"/>
          </w:tcPr>
          <w:p>
            <w:pPr>
              <w:suppressAutoHyphens/>
              <w:spacing w:after="0" w:line="240" w:lineRule="auto"/>
              <w:jc w:val="center"/>
              <w:rPr>
                <w:rFonts w:ascii="Arial" w:hAnsi="Arial" w:eastAsia="Times New Roman" w:cs="Arial"/>
                <w:b/>
                <w:iCs/>
                <w:sz w:val="20"/>
                <w:lang w:eastAsia="hi-IN" w:bidi="hi-IN"/>
              </w:rPr>
            </w:pPr>
            <w:r>
              <w:rPr>
                <w:rFonts w:ascii="Arial" w:hAnsi="Arial" w:eastAsia="Times New Roman" w:cs="Arial"/>
                <w:b/>
                <w:iCs/>
                <w:sz w:val="18"/>
                <w:lang w:eastAsia="hi-IN" w:bidi="hi-IN"/>
              </w:rPr>
              <w:t>Hora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de publicación en la página WEB del GAD Municipal del cantón Cuenca www.cuenca.gob.ec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28 DE FEBRERO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preguntas a través del correo convocatoriacaf@cuenca.gob.ec</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07 DE MARZO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Hasta las 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respuestas y aclaraciones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11 DE MARZO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18h00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límite de entrega de propuestas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14 DE MARZO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w:t>
            </w:r>
            <w:r>
              <w:rPr>
                <w:rFonts w:ascii="Arial" w:hAnsi="Arial" w:eastAsia="Times New Roman" w:cs="Arial"/>
                <w:iCs/>
                <w:sz w:val="18"/>
                <w:highlight w:val="yellow"/>
                <w:lang w:val="es-EC" w:eastAsia="hi-IN" w:bidi="hi-IN"/>
              </w:rPr>
              <w:t>6</w:t>
            </w:r>
            <w:r>
              <w:rPr>
                <w:rFonts w:ascii="Arial" w:hAnsi="Arial" w:eastAsia="Times New Roman" w:cs="Arial"/>
                <w:iCs/>
                <w:sz w:val="18"/>
                <w:highlight w:val="yellow"/>
                <w:lang w:eastAsia="hi-IN" w:bidi="hi-IN"/>
              </w:rPr>
              <w:t>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7" w:type="dxa"/>
            <w:shd w:val="clear" w:color="auto" w:fill="auto"/>
          </w:tcPr>
          <w:p>
            <w:pPr>
              <w:suppressAutoHyphens/>
              <w:spacing w:before="60" w:after="60" w:line="240" w:lineRule="auto"/>
              <w:rPr>
                <w:rFonts w:ascii="Arial" w:hAnsi="Arial" w:eastAsia="Times New Roman" w:cs="Arial"/>
                <w:iCs/>
                <w:sz w:val="20"/>
                <w:lang w:eastAsia="hi-IN" w:bidi="hi-IN"/>
              </w:rPr>
            </w:pPr>
            <w:r>
              <w:rPr>
                <w:rFonts w:ascii="Arial" w:hAnsi="Arial" w:eastAsia="Times New Roman" w:cs="Arial"/>
                <w:iCs/>
                <w:sz w:val="18"/>
                <w:lang w:eastAsia="hi-IN" w:bidi="hi-IN"/>
              </w:rPr>
              <w:t>Fecha  de apertura de ofertas</w:t>
            </w:r>
          </w:p>
        </w:tc>
        <w:tc>
          <w:tcPr>
            <w:tcW w:w="2872" w:type="dxa"/>
            <w:shd w:val="clear" w:color="auto" w:fill="auto"/>
          </w:tcPr>
          <w:p>
            <w:pPr>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14 DE MARZO DE 2019</w:t>
            </w:r>
          </w:p>
        </w:tc>
        <w:tc>
          <w:tcPr>
            <w:tcW w:w="1310" w:type="dxa"/>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w:t>
            </w:r>
            <w:r>
              <w:rPr>
                <w:rFonts w:ascii="Arial" w:hAnsi="Arial" w:eastAsia="Times New Roman" w:cs="Arial"/>
                <w:iCs/>
                <w:sz w:val="18"/>
                <w:highlight w:val="yellow"/>
                <w:lang w:val="es-EC" w:eastAsia="hi-IN" w:bidi="hi-IN"/>
              </w:rPr>
              <w:t>7</w:t>
            </w:r>
            <w:r>
              <w:rPr>
                <w:rFonts w:ascii="Arial" w:hAnsi="Arial" w:eastAsia="Times New Roman" w:cs="Arial"/>
                <w:iCs/>
                <w:sz w:val="18"/>
                <w:highlight w:val="yellow"/>
                <w:lang w:eastAsia="hi-IN" w:bidi="hi-IN"/>
              </w:rPr>
              <w:t>h00</w:t>
            </w:r>
          </w:p>
        </w:tc>
      </w:tr>
    </w:tbl>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i/>
          <w:iCs/>
          <w:vanish/>
          <w:sz w:val="18"/>
          <w:lang w:eastAsia="hi-IN" w:bidi="hi-IN"/>
        </w:rPr>
        <w:cr/>
      </w:r>
      <w:r>
        <w:rPr>
          <w:rFonts w:ascii="Arial" w:hAnsi="Arial" w:eastAsia="Times New Roman" w:cs="Arial"/>
          <w:i/>
          <w:iCs/>
          <w:vanish/>
          <w:sz w:val="18"/>
          <w:lang w:eastAsia="hi-IN" w:bidi="hi-IN"/>
        </w:rPr>
        <w:t>oraeptotimada de adjudicacifertas tecncia y economica</w:t>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r>
        <w:rPr>
          <w:rFonts w:ascii="Arial" w:hAnsi="Arial" w:eastAsia="Times New Roman" w:cs="Arial"/>
          <w:i/>
          <w:iCs/>
          <w:vanish/>
          <w:sz w:val="18"/>
          <w:lang w:eastAsia="hi-IN" w:bidi="hi-IN"/>
        </w:rPr>
        <w:pgNum/>
      </w:r>
    </w:p>
    <w:p>
      <w:pPr>
        <w:suppressAutoHyphens/>
        <w:spacing w:after="0" w:line="240" w:lineRule="auto"/>
        <w:jc w:val="both"/>
        <w:rPr>
          <w:rFonts w:ascii="Arial" w:hAnsi="Arial" w:eastAsia="Times New Roman" w:cs="Arial"/>
          <w:sz w:val="18"/>
          <w:highlight w:val="green"/>
          <w:lang w:eastAsia="hi-IN" w:bidi="hi-IN"/>
        </w:rPr>
      </w:pPr>
    </w:p>
    <w:p>
      <w:pPr>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En el caso de ser necesario, la CAEA podrá solicitar convalidación de acuerdo al siguiente cronograma.</w:t>
      </w:r>
    </w:p>
    <w:p>
      <w:pPr>
        <w:suppressAutoHyphens/>
        <w:spacing w:after="0" w:line="240" w:lineRule="auto"/>
        <w:jc w:val="both"/>
        <w:rPr>
          <w:rFonts w:ascii="Arial" w:hAnsi="Arial" w:eastAsia="Times New Roman" w:cs="Arial"/>
          <w:sz w:val="18"/>
          <w:lang w:val="es-ES" w:eastAsia="hi-IN" w:bidi="hi-IN"/>
        </w:rPr>
      </w:pPr>
    </w:p>
    <w:tbl>
      <w:tblPr>
        <w:tblStyle w:val="46"/>
        <w:tblW w:w="9201" w:type="dxa"/>
        <w:jc w:val="center"/>
        <w:tblInd w:w="0" w:type="dxa"/>
        <w:tblLayout w:type="fixed"/>
        <w:tblCellMar>
          <w:top w:w="0" w:type="dxa"/>
          <w:left w:w="0" w:type="dxa"/>
          <w:bottom w:w="0" w:type="dxa"/>
          <w:right w:w="0" w:type="dxa"/>
        </w:tblCellMar>
      </w:tblPr>
      <w:tblGrid>
        <w:gridCol w:w="5026"/>
        <w:gridCol w:w="2835"/>
        <w:gridCol w:w="1340"/>
      </w:tblGrid>
      <w:tr>
        <w:tblPrEx>
          <w:tblLayout w:type="fixed"/>
          <w:tblCellMar>
            <w:top w:w="0" w:type="dxa"/>
            <w:left w:w="0" w:type="dxa"/>
            <w:bottom w:w="0" w:type="dxa"/>
            <w:right w:w="0" w:type="dxa"/>
          </w:tblCellMar>
        </w:tblPrEx>
        <w:trPr>
          <w:trHeight w:val="376" w:hRule="atLeast"/>
          <w:jc w:val="center"/>
        </w:trPr>
        <w:tc>
          <w:tcPr>
            <w:tcW w:w="50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283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bCs/>
                <w:spacing w:val="-3"/>
                <w:sz w:val="20"/>
                <w:lang w:eastAsia="hi-IN" w:bidi="hi-IN"/>
              </w:rPr>
            </w:pP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máxima para Solicitud de convalidación</w:t>
            </w:r>
          </w:p>
        </w:tc>
        <w:tc>
          <w:tcPr>
            <w:tcW w:w="2835" w:type="dxa"/>
            <w:tcBorders>
              <w:top w:val="single" w:color="000000" w:sz="4" w:space="0"/>
              <w:left w:val="single" w:color="000000" w:sz="4" w:space="0"/>
              <w:bottom w:val="single" w:color="000000" w:sz="4" w:space="0"/>
            </w:tcBorders>
            <w:shd w:val="clear" w:color="auto" w:fill="auto"/>
          </w:tcPr>
          <w:p>
            <w:pPr>
              <w:tabs>
                <w:tab w:val="left" w:pos="448"/>
              </w:tabs>
              <w:suppressAutoHyphens/>
              <w:spacing w:before="60" w:after="60" w:line="240" w:lineRule="auto"/>
              <w:jc w:val="center"/>
              <w:rPr>
                <w:rFonts w:ascii="Arial" w:hAnsi="Arial" w:eastAsia="Times New Roman" w:cs="Arial"/>
                <w:b/>
                <w:sz w:val="18"/>
                <w:highlight w:val="yellow"/>
                <w:lang w:val="es-EC" w:bidi="hi-IN"/>
              </w:rPr>
            </w:pPr>
            <w:r>
              <w:rPr>
                <w:rFonts w:ascii="Arial" w:hAnsi="Arial" w:eastAsia="Times New Roman" w:cs="Arial"/>
                <w:b/>
                <w:sz w:val="18"/>
                <w:highlight w:val="yellow"/>
                <w:lang w:val="es-EC" w:bidi="hi-IN"/>
              </w:rPr>
              <w:t>21 DE MARZO DE 2019</w:t>
            </w:r>
          </w:p>
          <w:p>
            <w:pPr>
              <w:tabs>
                <w:tab w:val="left" w:pos="448"/>
              </w:tabs>
              <w:suppressAutoHyphens/>
              <w:spacing w:before="60" w:after="60" w:line="240" w:lineRule="auto"/>
              <w:jc w:val="center"/>
              <w:rPr>
                <w:rFonts w:ascii="Arial" w:hAnsi="Arial" w:eastAsia="Times New Roman" w:cs="Arial"/>
                <w:b/>
                <w:sz w:val="18"/>
                <w:highlight w:val="yellow"/>
                <w:lang w:bidi="hi-I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trHeight w:val="70" w:hRule="atLeast"/>
          <w:jc w:val="center"/>
        </w:trPr>
        <w:tc>
          <w:tcPr>
            <w:tcW w:w="5026" w:type="dxa"/>
            <w:tcBorders>
              <w:top w:val="single" w:color="000000" w:sz="4" w:space="0"/>
              <w:left w:val="single" w:color="000000" w:sz="4" w:space="0"/>
              <w:bottom w:val="single" w:color="000000" w:sz="4" w:space="0"/>
            </w:tcBorders>
            <w:shd w:val="clear" w:color="auto" w:fill="auto"/>
            <w:vAlign w:val="center"/>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sz w:val="20"/>
                <w:lang w:eastAsia="hi-IN" w:bidi="hi-IN"/>
              </w:rPr>
              <w:t>Fecha estimada de entrega de convalidación (los oferentes deberán presentar la convalidación requerida en un término máximo de 4 días contados a partir del pedido de convalidación)</w:t>
            </w:r>
          </w:p>
        </w:tc>
        <w:tc>
          <w:tcPr>
            <w:tcW w:w="2835" w:type="dxa"/>
            <w:tcBorders>
              <w:top w:val="single" w:color="000000" w:sz="4" w:space="0"/>
              <w:left w:val="single" w:color="000000" w:sz="4" w:space="0"/>
              <w:bottom w:val="single" w:color="000000" w:sz="4" w:space="0"/>
            </w:tcBorders>
            <w:shd w:val="clear" w:color="auto" w:fill="auto"/>
            <w:vAlign w:val="center"/>
          </w:tcPr>
          <w:p>
            <w:pPr>
              <w:suppressAutoHyphens/>
              <w:spacing w:after="0" w:line="240" w:lineRule="auto"/>
              <w:jc w:val="center"/>
              <w:rPr>
                <w:rFonts w:ascii="Arial" w:hAnsi="Arial" w:eastAsia="Times New Roman" w:cs="Arial"/>
                <w:b/>
                <w:sz w:val="20"/>
                <w:szCs w:val="20"/>
                <w:highlight w:val="yellow"/>
                <w:lang w:val="es-EC" w:eastAsia="hi-IN" w:bidi="hi-IN"/>
              </w:rPr>
            </w:pPr>
            <w:r>
              <w:rPr>
                <w:rFonts w:ascii="Arial" w:hAnsi="Arial" w:eastAsia="Times New Roman" w:cs="Arial"/>
                <w:b/>
                <w:sz w:val="18"/>
                <w:highlight w:val="yellow"/>
                <w:lang w:val="es-EC" w:bidi="hi-IN"/>
              </w:rPr>
              <w:t>26 DE MARZO DE 2019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r>
        <w:tblPrEx>
          <w:tblLayout w:type="fixed"/>
          <w:tblCellMar>
            <w:top w:w="0" w:type="dxa"/>
            <w:left w:w="0" w:type="dxa"/>
            <w:bottom w:w="0" w:type="dxa"/>
            <w:right w:w="0" w:type="dxa"/>
          </w:tblCellMar>
        </w:tblPrEx>
        <w:trPr>
          <w:jc w:val="center"/>
        </w:trPr>
        <w:tc>
          <w:tcPr>
            <w:tcW w:w="5026" w:type="dxa"/>
            <w:tcBorders>
              <w:top w:val="single" w:color="000000" w:sz="4" w:space="0"/>
              <w:left w:val="single" w:color="000000" w:sz="4" w:space="0"/>
              <w:bottom w:val="single" w:color="000000" w:sz="4" w:space="0"/>
            </w:tcBorders>
            <w:shd w:val="clear" w:color="auto" w:fill="auto"/>
          </w:tcPr>
          <w:p>
            <w:pPr>
              <w:tabs>
                <w:tab w:val="left" w:pos="285"/>
                <w:tab w:val="center" w:pos="4334"/>
              </w:tabs>
              <w:suppressAutoHyphens/>
              <w:snapToGrid w:val="0"/>
              <w:spacing w:before="60" w:after="60" w:line="240" w:lineRule="auto"/>
              <w:rPr>
                <w:rFonts w:ascii="Arial" w:hAnsi="Arial" w:eastAsia="Times New Roman" w:cs="Arial"/>
                <w:sz w:val="20"/>
                <w:lang w:eastAsia="hi-IN" w:bidi="hi-IN"/>
              </w:rPr>
            </w:pPr>
            <w:r>
              <w:rPr>
                <w:rFonts w:ascii="Arial" w:hAnsi="Arial" w:eastAsia="Times New Roman" w:cs="Arial"/>
                <w:iCs/>
                <w:sz w:val="18"/>
                <w:lang w:eastAsia="hi-IN" w:bidi="hi-IN"/>
              </w:rPr>
              <w:t>Fe</w:t>
            </w:r>
            <w:r>
              <w:rPr>
                <w:rFonts w:ascii="Arial" w:hAnsi="Arial" w:eastAsia="Times New Roman" w:cs="Arial"/>
                <w:sz w:val="20"/>
                <w:lang w:eastAsia="hi-IN" w:bidi="hi-IN"/>
              </w:rPr>
              <w:t>cha estimada de adjudicación</w:t>
            </w:r>
          </w:p>
        </w:tc>
        <w:tc>
          <w:tcPr>
            <w:tcW w:w="2835" w:type="dxa"/>
            <w:tcBorders>
              <w:top w:val="single" w:color="000000" w:sz="4" w:space="0"/>
              <w:left w:val="single" w:color="000000" w:sz="4" w:space="0"/>
              <w:bottom w:val="single" w:color="000000" w:sz="4" w:space="0"/>
            </w:tcBorders>
            <w:shd w:val="clear" w:color="auto" w:fill="auto"/>
          </w:tcPr>
          <w:p>
            <w:pPr>
              <w:suppressAutoHyphens/>
              <w:spacing w:after="0" w:line="240" w:lineRule="auto"/>
              <w:jc w:val="center"/>
              <w:rPr>
                <w:rFonts w:ascii="Arial" w:hAnsi="Arial" w:eastAsia="Times New Roman" w:cs="Arial"/>
                <w:sz w:val="20"/>
                <w:szCs w:val="20"/>
                <w:highlight w:val="yellow"/>
                <w:lang w:val="es-EC" w:eastAsia="hi-IN" w:bidi="hi-IN"/>
              </w:rPr>
            </w:pPr>
            <w:r>
              <w:rPr>
                <w:rFonts w:ascii="Arial" w:hAnsi="Arial" w:eastAsia="Times New Roman" w:cs="Arial"/>
                <w:b/>
                <w:sz w:val="18"/>
                <w:highlight w:val="yellow"/>
                <w:lang w:val="es-EC" w:bidi="hi-IN"/>
              </w:rPr>
              <w:t>28 DE MARZO DE 2019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Pr>
          <w:p>
            <w:pPr>
              <w:suppressAutoHyphens/>
              <w:spacing w:before="60" w:after="60" w:line="240" w:lineRule="auto"/>
              <w:jc w:val="center"/>
              <w:rPr>
                <w:rFonts w:ascii="Arial" w:hAnsi="Arial" w:eastAsia="Times New Roman" w:cs="Arial"/>
                <w:iCs/>
                <w:sz w:val="18"/>
                <w:highlight w:val="yellow"/>
                <w:lang w:eastAsia="hi-IN" w:bidi="hi-IN"/>
              </w:rPr>
            </w:pPr>
            <w:r>
              <w:rPr>
                <w:rFonts w:ascii="Arial" w:hAnsi="Arial" w:eastAsia="Times New Roman" w:cs="Arial"/>
                <w:iCs/>
                <w:sz w:val="18"/>
                <w:highlight w:val="yellow"/>
                <w:lang w:eastAsia="hi-IN" w:bidi="hi-IN"/>
              </w:rPr>
              <w:t>17h00</w:t>
            </w:r>
          </w:p>
        </w:tc>
      </w:tr>
    </w:tbl>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w:t>
      </w:r>
      <w:r>
        <w:rPr>
          <w:rFonts w:ascii="Arial" w:hAnsi="Arial" w:eastAsia="Times New Roman" w:cs="Arial"/>
          <w:iCs/>
          <w:sz w:val="20"/>
          <w:lang w:eastAsia="hi-IN" w:bidi="hi-IN"/>
        </w:rPr>
        <w:t>Las fechas de Requerimiento de Convalidación, Entrega de convalidaciones, y Adjudicación son Estimadas</w:t>
      </w:r>
      <w:r>
        <w:rPr>
          <w:rFonts w:ascii="Arial" w:hAnsi="Arial" w:eastAsia="Times New Roman" w:cs="Arial"/>
          <w:sz w:val="18"/>
          <w:lang w:eastAsia="hi-IN" w:bidi="hi-IN"/>
        </w:rPr>
        <w:t>.</w:t>
      </w:r>
    </w:p>
    <w:p>
      <w:pPr>
        <w:tabs>
          <w:tab w:val="left" w:pos="180"/>
        </w:tabs>
        <w:suppressAutoHyphens/>
        <w:spacing w:after="0" w:line="240" w:lineRule="auto"/>
        <w:jc w:val="both"/>
        <w:rPr>
          <w:rFonts w:ascii="Arial" w:hAnsi="Arial" w:eastAsia="Times New Roman" w:cs="Arial"/>
          <w:sz w:val="18"/>
          <w:lang w:eastAsia="hi-IN" w:bidi="hi-IN"/>
        </w:rPr>
      </w:pPr>
    </w:p>
    <w:p>
      <w:pPr>
        <w:tabs>
          <w:tab w:val="left" w:pos="180"/>
        </w:tabs>
        <w:suppressAutoHyphens/>
        <w:spacing w:after="0" w:line="240" w:lineRule="auto"/>
        <w:jc w:val="both"/>
        <w:rPr>
          <w:rFonts w:ascii="Arial" w:hAnsi="Arial" w:eastAsia="Times New Roman" w:cs="Arial"/>
          <w:sz w:val="20"/>
          <w:lang w:eastAsia="hi-IN" w:bidi="hi-IN"/>
        </w:rPr>
      </w:pPr>
    </w:p>
    <w:p>
      <w:pPr>
        <w:tabs>
          <w:tab w:val="left" w:pos="18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3.2.</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Vigencia de la oferta:</w:t>
      </w:r>
      <w:r>
        <w:rPr>
          <w:rFonts w:ascii="Arial" w:hAnsi="Arial" w:eastAsia="Times New Roman" w:cs="Arial"/>
          <w:spacing w:val="-2"/>
          <w:sz w:val="20"/>
          <w:lang w:val="es-ES" w:eastAsia="hi-IN" w:bidi="hi-IN"/>
        </w:rPr>
        <w:t xml:space="preserve"> Las ofertas se entenderán vigentes hasta la suscripción del contrato, de acuerdo a lo establecido en el artículo 30 de la LOSNCP.</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0"/>
        </w:tabs>
        <w:suppressAutoHyphens/>
        <w:spacing w:after="0" w:line="240" w:lineRule="auto"/>
        <w:ind w:left="15" w:right="45"/>
        <w:jc w:val="both"/>
        <w:rPr>
          <w:rFonts w:ascii="Arial" w:hAnsi="Arial" w:eastAsia="Times New Roman" w:cs="Arial"/>
          <w:sz w:val="20"/>
          <w:lang w:eastAsia="hi-IN" w:bidi="hi-IN"/>
        </w:rPr>
      </w:pPr>
      <w:r>
        <w:rPr>
          <w:rFonts w:ascii="Arial" w:hAnsi="Arial" w:eastAsia="Times New Roman" w:cs="Arial"/>
          <w:b/>
          <w:spacing w:val="-2"/>
          <w:sz w:val="20"/>
          <w:lang w:val="es-ES" w:eastAsia="hi-IN" w:bidi="hi-IN"/>
        </w:rPr>
        <w:t>3.3.</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Precio de la oferta: </w:t>
      </w:r>
      <w:r>
        <w:rPr>
          <w:rFonts w:ascii="Arial" w:hAnsi="Arial" w:eastAsia="Times New Roman" w:cs="Arial"/>
          <w:spacing w:val="-2"/>
          <w:sz w:val="20"/>
          <w:lang w:val="es-ES" w:eastAsia="hi-IN" w:bidi="hi-IN"/>
        </w:rPr>
        <w:t xml:space="preserve">Se entenderá por precio de la oferta al valor total que el oferente haga constar en el </w:t>
      </w:r>
      <w:r>
        <w:rPr>
          <w:rFonts w:ascii="Arial" w:hAnsi="Arial" w:eastAsia="Times New Roman" w:cs="Arial"/>
          <w:sz w:val="20"/>
          <w:lang w:eastAsia="hi-IN" w:bidi="hi-IN"/>
        </w:rPr>
        <w:t>Formulario de Oferta: Tabla de Descripción de Rubros, Unidades, Cantidades y Precios.</w:t>
      </w:r>
    </w:p>
    <w:p>
      <w:pPr>
        <w:tabs>
          <w:tab w:val="left" w:pos="0"/>
        </w:tabs>
        <w:suppressAutoHyphens/>
        <w:spacing w:after="0" w:line="240" w:lineRule="auto"/>
        <w:ind w:left="15" w:right="45"/>
        <w:jc w:val="both"/>
        <w:rPr>
          <w:rFonts w:ascii="Arial" w:hAnsi="Arial" w:eastAsia="Times New Roman" w:cs="Arial"/>
          <w:sz w:val="20"/>
          <w:lang w:eastAsia="hi-IN" w:bidi="hi-IN"/>
        </w:rPr>
      </w:pPr>
    </w:p>
    <w:p>
      <w:pPr>
        <w:suppressAutoHyphens/>
        <w:autoSpaceDN w:val="0"/>
        <w:spacing w:after="0" w:line="240" w:lineRule="auto"/>
        <w:jc w:val="both"/>
        <w:textAlignment w:val="baseline"/>
        <w:rPr>
          <w:rFonts w:ascii="Arial" w:hAnsi="Arial" w:eastAsia="Times New Roman" w:cs="Arial"/>
          <w:spacing w:val="-2"/>
          <w:sz w:val="20"/>
          <w:lang w:bidi="hi-IN"/>
        </w:rPr>
      </w:pPr>
      <w:r>
        <w:rPr>
          <w:rFonts w:ascii="Arial" w:hAnsi="Arial" w:eastAsia="Times New Roman" w:cs="Arial"/>
          <w:spacing w:val="-2"/>
          <w:sz w:val="20"/>
          <w:lang w:bidi="hi-IN"/>
        </w:rPr>
        <w:t>Los precios presentados por el oferente son de su exclusiva responsabilidad. Cualquier omisión se interpretará como voluntaria y tendiente a conseguir precios que le permitan presentar una oferta más ventajosa.</w:t>
      </w:r>
    </w:p>
    <w:p>
      <w:pPr>
        <w:tabs>
          <w:tab w:val="left" w:pos="0"/>
        </w:tabs>
        <w:suppressAutoHyphens/>
        <w:spacing w:after="0" w:line="240" w:lineRule="auto"/>
        <w:ind w:left="15" w:right="45"/>
        <w:jc w:val="both"/>
        <w:rPr>
          <w:rFonts w:ascii="Arial" w:hAnsi="Arial" w:eastAsia="Times New Roman" w:cs="Arial"/>
          <w:spacing w:val="-2"/>
          <w:sz w:val="18"/>
          <w:lang w:eastAsia="hi-IN" w:bidi="hi-IN"/>
        </w:rPr>
      </w:pPr>
    </w:p>
    <w:p>
      <w:pPr>
        <w:tabs>
          <w:tab w:val="left" w:pos="180"/>
        </w:tabs>
        <w:suppressAutoHyphens/>
        <w:spacing w:after="0" w:line="240" w:lineRule="auto"/>
        <w:ind w:left="15" w:right="45"/>
        <w:jc w:val="both"/>
        <w:rPr>
          <w:rFonts w:ascii="Arial" w:hAnsi="Arial" w:eastAsia="Times New Roman" w:cs="Arial"/>
          <w:sz w:val="20"/>
          <w:szCs w:val="20"/>
          <w:lang w:val="es-ES" w:bidi="hi-IN"/>
        </w:rPr>
      </w:pPr>
      <w:r>
        <w:rPr>
          <w:rFonts w:ascii="Arial" w:hAnsi="Arial" w:eastAsia="Times New Roman" w:cs="Arial"/>
          <w:b/>
          <w:spacing w:val="-2"/>
          <w:sz w:val="20"/>
          <w:lang w:val="es-ES" w:eastAsia="hi-IN" w:bidi="hi-IN"/>
        </w:rPr>
        <w:t>3.3.1.</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Forma de presentar la oferta:</w:t>
      </w:r>
      <w:r>
        <w:rPr>
          <w:rFonts w:ascii="Arial" w:hAnsi="Arial" w:eastAsia="Times New Roman" w:cs="Arial"/>
          <w:b/>
          <w:spacing w:val="-2"/>
          <w:sz w:val="18"/>
          <w:lang w:val="es-ES" w:eastAsia="hi-IN" w:bidi="hi-IN"/>
        </w:rPr>
        <w:t xml:space="preserve"> </w:t>
      </w:r>
      <w:r>
        <w:rPr>
          <w:rFonts w:ascii="Arial" w:hAnsi="Arial" w:eastAsia="Times New Roman" w:cs="Arial"/>
          <w:sz w:val="20"/>
          <w:szCs w:val="20"/>
          <w:lang w:val="es-ES" w:bidi="hi-IN"/>
        </w:rPr>
        <w:t>La oferta se presentará OBLIGATORIAMENTE en forma física ORIGINAL Y COPIA y con el correspondiente archivo digital, dentro de un sobre cerrado que contenga la siguiente ilustración:</w:t>
      </w: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tabs>
          <w:tab w:val="left" w:pos="180"/>
        </w:tabs>
        <w:suppressAutoHyphens/>
        <w:spacing w:after="0" w:line="240" w:lineRule="auto"/>
        <w:ind w:left="15" w:right="45"/>
        <w:jc w:val="both"/>
        <w:rPr>
          <w:rFonts w:ascii="Arial" w:hAnsi="Arial" w:eastAsia="Times New Roman" w:cs="Arial"/>
          <w:szCs w:val="20"/>
          <w:lang w:val="es-ES"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i/>
          <w:sz w:val="18"/>
          <w:szCs w:val="20"/>
          <w:lang w:eastAsia="hi-IN" w:bidi="hi-IN"/>
        </w:rPr>
      </w:pP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sz w:val="20"/>
          <w:szCs w:val="20"/>
          <w:lang w:eastAsia="hi-IN" w:bidi="hi-IN"/>
        </w:rPr>
      </w:pPr>
      <w:r>
        <w:rPr>
          <w:rFonts w:ascii="Arial" w:hAnsi="Arial" w:eastAsia="Times New Roman" w:cs="Arial"/>
          <w:b/>
          <w:bCs/>
          <w:sz w:val="20"/>
          <w:szCs w:val="20"/>
          <w:lang w:eastAsia="hi-IN" w:bidi="hi-IN"/>
        </w:rPr>
        <w:t>Objeto de Contratación:</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
          <w:bCs/>
          <w:i/>
          <w:caps/>
          <w:sz w:val="20"/>
          <w:szCs w:val="20"/>
          <w:lang w:eastAsia="hi-IN" w:bidi="hi-IN"/>
        </w:rPr>
      </w:pPr>
      <w:r>
        <w:rPr>
          <w:rFonts w:ascii="Arial" w:hAnsi="Arial" w:eastAsia="Times New Roman" w:cs="Arial"/>
          <w:b/>
          <w:bCs/>
          <w:i/>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Grupo 5</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before="120" w:after="120" w:line="240" w:lineRule="auto"/>
        <w:ind w:right="-119"/>
        <w:jc w:val="center"/>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Contiene: Original, Copia y Magnético</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Señor</w:t>
      </w:r>
      <w:r>
        <w:rPr>
          <w:rFonts w:ascii="Arial" w:hAnsi="Arial" w:eastAsia="Times New Roman" w:cs="Arial"/>
          <w:sz w:val="20"/>
          <w:szCs w:val="20"/>
          <w:lang w:val="es-EC" w:eastAsia="hi-IN" w:bidi="hi-IN"/>
        </w:rPr>
        <w:t>a</w:t>
      </w:r>
      <w:r>
        <w:rPr>
          <w:rFonts w:ascii="Arial" w:hAnsi="Arial" w:eastAsia="Times New Roman" w:cs="Arial"/>
          <w:sz w:val="20"/>
          <w:szCs w:val="20"/>
          <w:lang w:eastAsia="hi-IN" w:bidi="hi-IN"/>
        </w:rPr>
        <w:t>:</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val="es-EC" w:eastAsia="hi-IN" w:bidi="hi-IN"/>
        </w:rPr>
        <w:t>Ab</w:t>
      </w:r>
      <w:r>
        <w:rPr>
          <w:rFonts w:ascii="Arial" w:hAnsi="Arial" w:eastAsia="Times New Roman" w:cs="Arial"/>
          <w:sz w:val="20"/>
          <w:szCs w:val="20"/>
          <w:lang w:eastAsia="hi-IN" w:bidi="hi-IN"/>
        </w:rPr>
        <w:t xml:space="preserve">. </w:t>
      </w:r>
      <w:r>
        <w:rPr>
          <w:rFonts w:ascii="Arial" w:hAnsi="Arial" w:eastAsia="Times New Roman" w:cs="Arial"/>
          <w:sz w:val="20"/>
          <w:szCs w:val="20"/>
          <w:lang w:val="es-EC" w:eastAsia="hi-IN" w:bidi="hi-IN"/>
        </w:rPr>
        <w:t>Ruth Caldas Arias</w:t>
      </w:r>
      <w:r>
        <w:rPr>
          <w:rFonts w:ascii="Arial" w:hAnsi="Arial" w:eastAsia="Times New Roman" w:cs="Arial"/>
          <w:sz w:val="20"/>
          <w:szCs w:val="20"/>
          <w:lang w:eastAsia="hi-IN" w:bidi="hi-IN"/>
        </w:rPr>
        <w:t>.</w:t>
      </w:r>
    </w:p>
    <w:p>
      <w:pPr>
        <w:pBdr>
          <w:top w:val="single" w:color="000000" w:sz="4" w:space="1"/>
          <w:left w:val="single" w:color="000000" w:sz="4" w:space="4"/>
          <w:bottom w:val="single" w:color="000000" w:sz="4" w:space="1"/>
          <w:right w:val="single" w:color="000000" w:sz="4" w:space="4"/>
        </w:pBdr>
        <w:tabs>
          <w:tab w:val="left" w:pos="0"/>
          <w:tab w:val="left" w:pos="8214"/>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 xml:space="preserve">ALCALDE </w:t>
      </w:r>
      <w:r>
        <w:rPr>
          <w:rFonts w:ascii="Arial" w:hAnsi="Arial" w:eastAsia="Times New Roman" w:cs="Arial"/>
          <w:sz w:val="20"/>
          <w:szCs w:val="20"/>
          <w:lang w:val="es-EC" w:eastAsia="hi-IN" w:bidi="hi-IN"/>
        </w:rPr>
        <w:t xml:space="preserve">SA (S) </w:t>
      </w:r>
      <w:r>
        <w:rPr>
          <w:rFonts w:ascii="Arial" w:hAnsi="Arial" w:eastAsia="Times New Roman" w:cs="Arial"/>
          <w:sz w:val="20"/>
          <w:szCs w:val="20"/>
          <w:lang w:eastAsia="hi-IN" w:bidi="hi-IN"/>
        </w:rPr>
        <w:t>DE</w:t>
      </w:r>
      <w:r>
        <w:rPr>
          <w:rFonts w:ascii="Arial" w:hAnsi="Arial" w:eastAsia="Times New Roman" w:cs="Arial"/>
          <w:sz w:val="20"/>
          <w:szCs w:val="20"/>
          <w:lang w:val="es-EC" w:eastAsia="hi-IN" w:bidi="hi-IN"/>
        </w:rPr>
        <w:t>L CANTÓN</w:t>
      </w:r>
      <w:r>
        <w:rPr>
          <w:rFonts w:ascii="Arial" w:hAnsi="Arial" w:eastAsia="Times New Roman" w:cs="Arial"/>
          <w:sz w:val="20"/>
          <w:szCs w:val="20"/>
          <w:lang w:eastAsia="hi-IN" w:bidi="hi-IN"/>
        </w:rPr>
        <w:t xml:space="preserve"> CUENCA</w:t>
      </w:r>
    </w:p>
    <w:p>
      <w:pPr>
        <w:pBdr>
          <w:top w:val="single" w:color="000000" w:sz="4" w:space="1"/>
          <w:left w:val="single" w:color="000000" w:sz="4" w:space="4"/>
          <w:bottom w:val="single" w:color="000000" w:sz="4" w:space="1"/>
          <w:right w:val="single" w:color="000000" w:sz="4" w:space="4"/>
        </w:pBdr>
        <w:tabs>
          <w:tab w:val="left" w:pos="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Presente.-</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 xml:space="preserve">PRESENTADA POR: ____________________________________ </w:t>
      </w:r>
    </w:p>
    <w:p>
      <w:pPr>
        <w:pBdr>
          <w:top w:val="single" w:color="000000" w:sz="4" w:space="1"/>
          <w:left w:val="single" w:color="000000" w:sz="4" w:space="4"/>
          <w:bottom w:val="single" w:color="000000" w:sz="4" w:space="1"/>
          <w:right w:val="single" w:color="000000" w:sz="4" w:space="4"/>
        </w:pBdr>
        <w:tabs>
          <w:tab w:val="left" w:pos="0"/>
        </w:tabs>
        <w:suppressAutoHyphens/>
        <w:spacing w:before="120" w:after="12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RUC: ___________________</w:t>
      </w:r>
    </w:p>
    <w:p>
      <w:pPr>
        <w:pBdr>
          <w:top w:val="single" w:color="000000" w:sz="4" w:space="1"/>
          <w:left w:val="single" w:color="000000" w:sz="4" w:space="4"/>
          <w:bottom w:val="single" w:color="000000" w:sz="4" w:space="1"/>
          <w:right w:val="single" w:color="000000" w:sz="4" w:space="4"/>
        </w:pBdr>
        <w:tabs>
          <w:tab w:val="left" w:pos="0"/>
          <w:tab w:val="center" w:pos="4680"/>
        </w:tabs>
        <w:suppressAutoHyphens/>
        <w:spacing w:after="0" w:line="240" w:lineRule="auto"/>
        <w:ind w:right="-119"/>
        <w:rPr>
          <w:rFonts w:ascii="Arial" w:hAnsi="Arial" w:eastAsia="Times New Roman" w:cs="Arial"/>
          <w:b/>
          <w:spacing w:val="-2"/>
          <w:szCs w:val="20"/>
          <w:lang w:eastAsia="hi-IN" w:bidi="hi-IN"/>
        </w:rPr>
      </w:pPr>
    </w:p>
    <w:p>
      <w:pPr>
        <w:tabs>
          <w:tab w:val="left" w:pos="180"/>
        </w:tabs>
        <w:suppressAutoHyphens/>
        <w:spacing w:after="0" w:line="240" w:lineRule="auto"/>
        <w:ind w:left="15" w:right="45"/>
        <w:jc w:val="both"/>
        <w:rPr>
          <w:rFonts w:ascii="Arial" w:hAnsi="Arial" w:eastAsia="Times New Roman" w:cs="Arial"/>
          <w:szCs w:val="20"/>
          <w:lang w:eastAsia="hi-IN" w:bidi="hi-IN"/>
        </w:rPr>
      </w:pPr>
    </w:p>
    <w:p>
      <w:pPr>
        <w:tabs>
          <w:tab w:val="left" w:pos="180"/>
        </w:tabs>
        <w:suppressAutoHyphens/>
        <w:spacing w:after="0" w:line="240" w:lineRule="auto"/>
        <w:ind w:left="15" w:right="45"/>
        <w:jc w:val="both"/>
        <w:rPr>
          <w:rFonts w:ascii="Arial" w:hAnsi="Arial" w:eastAsia="Times New Roman" w:cs="Arial"/>
          <w:spacing w:val="-2"/>
          <w:sz w:val="18"/>
          <w:lang w:eastAsia="hi-IN" w:bidi="hi-IN"/>
        </w:rPr>
      </w:pPr>
      <w:r>
        <w:rPr>
          <w:rFonts w:ascii="Arial" w:hAnsi="Arial" w:eastAsia="Times New Roman" w:cs="Arial"/>
          <w:spacing w:val="-2"/>
          <w:sz w:val="18"/>
          <w:lang w:eastAsia="hi-IN" w:bidi="hi-IN"/>
        </w:rPr>
        <w:t xml:space="preserve">No se tomarán en cuenta las ofertas entregadas en otro lugar o después del día y hora fijados para su entrega-recepción. </w:t>
      </w:r>
    </w:p>
    <w:p>
      <w:pPr>
        <w:tabs>
          <w:tab w:val="left" w:pos="180"/>
        </w:tabs>
        <w:suppressAutoHyphens/>
        <w:spacing w:after="0" w:line="240" w:lineRule="auto"/>
        <w:ind w:left="15" w:right="45"/>
        <w:jc w:val="both"/>
        <w:rPr>
          <w:rFonts w:ascii="Arial" w:hAnsi="Arial" w:eastAsia="Times New Roman" w:cs="Arial"/>
          <w:spacing w:val="-2"/>
          <w:sz w:val="16"/>
          <w:lang w:eastAsia="hi-IN" w:bidi="hi-IN"/>
        </w:rPr>
      </w:pPr>
    </w:p>
    <w:p>
      <w:pPr>
        <w:tabs>
          <w:tab w:val="left" w:pos="195"/>
        </w:tabs>
        <w:suppressAutoHyphens/>
        <w:autoSpaceDN w:val="0"/>
        <w:spacing w:after="0" w:line="240" w:lineRule="auto"/>
        <w:ind w:left="15" w:right="45"/>
        <w:jc w:val="both"/>
        <w:textAlignment w:val="baseline"/>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La Secretaría recibirá y conferirá comprobantes de recepción por cada oferta entregada y anotará, tanto en los recibos como en el sobre de la oferta, la fecha y hora de recepción. </w:t>
      </w:r>
    </w:p>
    <w:p>
      <w:pPr>
        <w:tabs>
          <w:tab w:val="left" w:pos="180"/>
        </w:tabs>
        <w:suppressAutoHyphens/>
        <w:spacing w:after="0" w:line="240" w:lineRule="auto"/>
        <w:jc w:val="both"/>
        <w:rPr>
          <w:rFonts w:ascii="Arial" w:hAnsi="Arial" w:eastAsia="Times New Roman" w:cs="Arial"/>
          <w:spacing w:val="-2"/>
          <w:sz w:val="18"/>
          <w:lang w:val="es-ES" w:eastAsia="hi-IN" w:bidi="hi-IN"/>
        </w:rPr>
      </w:pPr>
    </w:p>
    <w:p>
      <w:pPr>
        <w:tabs>
          <w:tab w:val="left" w:pos="-540"/>
        </w:tabs>
        <w:suppressAutoHyphens/>
        <w:spacing w:after="0" w:line="240" w:lineRule="auto"/>
        <w:jc w:val="both"/>
        <w:rPr>
          <w:rFonts w:ascii="Arial" w:hAnsi="Arial" w:eastAsia="Times New Roman" w:cs="Arial"/>
          <w:i/>
          <w:iCs/>
          <w:spacing w:val="-2"/>
          <w:sz w:val="20"/>
          <w:lang w:val="es-ES" w:eastAsia="hi-IN" w:bidi="hi-IN"/>
        </w:rPr>
      </w:pPr>
      <w:r>
        <w:rPr>
          <w:rFonts w:ascii="Arial" w:hAnsi="Arial" w:eastAsia="Times New Roman" w:cs="Arial"/>
          <w:b/>
          <w:spacing w:val="-2"/>
          <w:sz w:val="20"/>
          <w:lang w:eastAsia="hi-IN" w:bidi="hi-IN"/>
        </w:rPr>
        <w:t>3.4.</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Plazo de ejecución:</w:t>
      </w:r>
      <w:r>
        <w:rPr>
          <w:rFonts w:ascii="Arial" w:hAnsi="Arial" w:eastAsia="Times New Roman" w:cs="Arial"/>
          <w:spacing w:val="-2"/>
          <w:sz w:val="20"/>
          <w:lang w:val="es-ES" w:eastAsia="hi-IN" w:bidi="hi-IN"/>
        </w:rPr>
        <w:t xml:space="preserve"> El plazo máximo estimado para la ejecución del contrato es de NOVENTA</w:t>
      </w:r>
      <w:r>
        <w:rPr>
          <w:rFonts w:ascii="Arial" w:hAnsi="Arial" w:eastAsia="Times New Roman" w:cs="Arial"/>
          <w:sz w:val="20"/>
          <w:lang w:bidi="hi-IN"/>
        </w:rPr>
        <w:t xml:space="preserve"> (90)</w:t>
      </w:r>
      <w:r>
        <w:rPr>
          <w:rFonts w:ascii="Arial" w:hAnsi="Arial" w:eastAsia="Times New Roman" w:cs="Arial"/>
          <w:spacing w:val="-2"/>
          <w:sz w:val="20"/>
          <w:lang w:val="es-ES" w:eastAsia="hi-IN" w:bidi="hi-IN"/>
        </w:rPr>
        <w:t xml:space="preserve"> DÍAS CALENDARIO, contado a partir del día siguiente de que el anticipo se encuentra disponible en la cuenta del contratista</w:t>
      </w:r>
      <w:r>
        <w:rPr>
          <w:rFonts w:ascii="Arial" w:hAnsi="Arial" w:eastAsia="Times New Roman" w:cs="Arial"/>
          <w:i/>
          <w:iCs/>
          <w:spacing w:val="-2"/>
          <w:sz w:val="20"/>
          <w:lang w:val="es-ES" w:eastAsia="hi-IN" w:bidi="hi-IN"/>
        </w:rPr>
        <w:t>.</w:t>
      </w:r>
    </w:p>
    <w:p>
      <w:pPr>
        <w:tabs>
          <w:tab w:val="left" w:pos="-540"/>
        </w:tabs>
        <w:suppressAutoHyphens/>
        <w:spacing w:after="0" w:line="240" w:lineRule="auto"/>
        <w:jc w:val="both"/>
        <w:rPr>
          <w:rFonts w:ascii="Arial" w:hAnsi="Arial" w:eastAsia="Times New Roman" w:cs="Arial"/>
          <w:sz w:val="20"/>
          <w:lang w:val="es-ES" w:eastAsia="hi-IN" w:bidi="hi-IN"/>
        </w:rPr>
      </w:pPr>
    </w:p>
    <w:p>
      <w:pPr>
        <w:tabs>
          <w:tab w:val="left" w:pos="-540"/>
        </w:tabs>
        <w:suppressAutoHyphens/>
        <w:spacing w:after="0" w:line="240" w:lineRule="auto"/>
        <w:jc w:val="both"/>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 xml:space="preserve">La recepción definitiva se realizará en el término de seis meses, </w:t>
      </w:r>
      <w:r>
        <w:rPr>
          <w:rFonts w:ascii="Arial" w:hAnsi="Arial" w:eastAsia="Times New Roman" w:cs="Arial"/>
          <w:sz w:val="20"/>
          <w:lang w:val="es-ES" w:eastAsia="hi-IN" w:bidi="hi-IN"/>
        </w:rPr>
        <w:t>a contarse desde la suscripción del Acta de Recepción Provisional total o de la última Recepción Provisional Parcial, si se hubiere previsto realizar varias de éstas.</w:t>
      </w:r>
    </w:p>
    <w:p>
      <w:pPr>
        <w:tabs>
          <w:tab w:val="left" w:pos="180"/>
        </w:tabs>
        <w:suppressAutoHyphens/>
        <w:spacing w:after="0" w:line="240" w:lineRule="auto"/>
        <w:jc w:val="both"/>
        <w:rPr>
          <w:rFonts w:ascii="Arial" w:hAnsi="Arial" w:eastAsia="Times New Roman" w:cs="Arial"/>
          <w:spacing w:val="-2"/>
          <w:sz w:val="20"/>
          <w:lang w:val="es-ES"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Alcance del precio de la oferta: </w:t>
      </w:r>
      <w:r>
        <w:rPr>
          <w:rFonts w:ascii="Arial" w:hAnsi="Arial" w:eastAsia="Times New Roman" w:cs="Arial"/>
          <w:spacing w:val="-2"/>
          <w:sz w:val="20"/>
          <w:lang w:eastAsia="hi-IN" w:bidi="hi-IN"/>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El participante deberá ofertar OBLIGATORIAMENTE todos y cada uno de los rubros señalados en las Condiciones Particulares del Pliego, en el Formulario de Oferta: Tabla de Descripción de Rubros, Unidades, Cantidades y Precios, para la obra que propone ejecutar.</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De existir errores aritméticos se procederá a su corrección conforme a lo previsto en la Resolución emitida por el SERCOP para el efecto.</w:t>
      </w:r>
    </w:p>
    <w:p>
      <w:pPr>
        <w:tabs>
          <w:tab w:val="left" w:pos="180"/>
        </w:tabs>
        <w:suppressAutoHyphens/>
        <w:spacing w:after="0" w:line="240" w:lineRule="auto"/>
        <w:jc w:val="both"/>
        <w:rPr>
          <w:rFonts w:ascii="Arial" w:hAnsi="Arial" w:eastAsia="Times New Roman" w:cs="Arial"/>
          <w:b/>
          <w:spacing w:val="-2"/>
          <w:sz w:val="20"/>
          <w:lang w:eastAsia="hi-IN" w:bidi="hi-IN"/>
        </w:rPr>
      </w:pPr>
    </w:p>
    <w:p>
      <w:pPr>
        <w:tabs>
          <w:tab w:val="left" w:pos="180"/>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Forma de pago:</w:t>
      </w:r>
      <w:r>
        <w:rPr>
          <w:rFonts w:ascii="Arial" w:hAnsi="Arial" w:eastAsia="Times New Roman" w:cs="Arial"/>
          <w:spacing w:val="-2"/>
          <w:sz w:val="20"/>
          <w:lang w:eastAsia="hi-IN" w:bidi="hi-IN"/>
        </w:rPr>
        <w:t xml:space="preserve"> Los pagos se realizarán de la manera prevista en el numeral 6 de la Convocatoria y en el Proyecto de Contrato.</w:t>
      </w:r>
    </w:p>
    <w:p>
      <w:pPr>
        <w:tabs>
          <w:tab w:val="left" w:pos="180"/>
        </w:tabs>
        <w:suppressAutoHyphens/>
        <w:spacing w:after="0" w:line="240" w:lineRule="auto"/>
        <w:jc w:val="both"/>
        <w:rPr>
          <w:rFonts w:ascii="Arial" w:hAnsi="Arial" w:eastAsia="Times New Roman" w:cs="Arial"/>
          <w:spacing w:val="-2"/>
          <w:sz w:val="20"/>
          <w:lang w:eastAsia="hi-IN" w:bidi="hi-IN"/>
        </w:rPr>
      </w:pPr>
    </w:p>
    <w:p>
      <w:pPr>
        <w:tabs>
          <w:tab w:val="left" w:pos="709"/>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3.6.1.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Anticipo: </w:t>
      </w:r>
      <w:r>
        <w:rPr>
          <w:rFonts w:ascii="Arial" w:hAnsi="Arial" w:eastAsia="Times New Roman" w:cs="Arial"/>
          <w:spacing w:val="-2"/>
          <w:sz w:val="20"/>
          <w:szCs w:val="20"/>
          <w:lang w:eastAsia="hi-IN" w:bidi="hi-IN"/>
        </w:rPr>
        <w:t>Se concederá un anticipo del 30% del contrato</w:t>
      </w:r>
      <w:r>
        <w:rPr>
          <w:rFonts w:ascii="Arial" w:hAnsi="Arial" w:eastAsia="Times New Roman" w:cs="Arial"/>
          <w:spacing w:val="-2"/>
          <w:sz w:val="18"/>
          <w:lang w:eastAsia="hi-IN" w:bidi="hi-IN"/>
        </w:rPr>
        <w:t>.</w:t>
      </w:r>
    </w:p>
    <w:p>
      <w:pPr>
        <w:tabs>
          <w:tab w:val="left" w:pos="0"/>
        </w:tabs>
        <w:suppressAutoHyphens/>
        <w:spacing w:after="0" w:line="240" w:lineRule="auto"/>
        <w:jc w:val="both"/>
        <w:rPr>
          <w:rFonts w:ascii="Arial" w:hAnsi="Arial" w:eastAsia="Times New Roman" w:cs="Arial"/>
          <w:b/>
          <w:spacing w:val="-2"/>
          <w:sz w:val="20"/>
          <w:lang w:eastAsia="hi-IN" w:bidi="hi-IN"/>
        </w:rPr>
      </w:pPr>
    </w:p>
    <w:p>
      <w:pPr>
        <w:tabs>
          <w:tab w:val="left" w:pos="-1260"/>
          <w:tab w:val="left" w:pos="18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3.6.2.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Valor restante de la obra: </w:t>
      </w:r>
      <w:r>
        <w:rPr>
          <w:rFonts w:ascii="Arial" w:hAnsi="Arial" w:eastAsia="Times New Roman" w:cs="Arial"/>
          <w:spacing w:val="-2"/>
          <w:sz w:val="20"/>
          <w:lang w:eastAsia="hi-IN" w:bidi="hi-IN"/>
        </w:rPr>
        <w:t xml:space="preserve">Se lo hará mediante pago contra presentación de planillas mensuales, debidamente aprobadas por la fiscalización y autorizadas por el Administrador del Contrato. De cada planilla se descontará la amortización del anticipo y cualquier otro cargo al Contratista, que sea en legal aplicación del contrato. El monto del anticipo entregado por la Entidad será devengado proporcionalmente al momento del pago de cada </w:t>
      </w:r>
      <w:r>
        <w:rPr>
          <w:rFonts w:ascii="Arial" w:hAnsi="Arial" w:eastAsia="Times New Roman" w:cs="Arial"/>
          <w:spacing w:val="-2"/>
          <w:sz w:val="20"/>
          <w:szCs w:val="20"/>
          <w:lang w:eastAsia="hi-IN" w:bidi="hi-IN"/>
        </w:rPr>
        <w:t>planilla hasta la terminación del plazo contractual inicialmente estipulado y constará en el cronograma pertinente que es parte del contrato</w:t>
      </w:r>
      <w:r>
        <w:rPr>
          <w:rFonts w:ascii="Arial" w:hAnsi="Arial" w:eastAsia="Times New Roman" w:cs="Arial"/>
          <w:spacing w:val="-2"/>
          <w:sz w:val="20"/>
          <w:lang w:eastAsia="hi-IN" w:bidi="hi-IN"/>
        </w:rPr>
        <w:t>.</w:t>
      </w:r>
    </w:p>
    <w:p>
      <w:pPr>
        <w:rPr>
          <w:rFonts w:ascii="Arial" w:hAnsi="Arial" w:eastAsia="Times New Roman" w:cs="Arial"/>
          <w:spacing w:val="-2"/>
          <w:sz w:val="18"/>
          <w:lang w:eastAsia="hi-IN" w:bidi="hi-IN"/>
        </w:rPr>
      </w:pPr>
      <w:r>
        <w:rPr>
          <w:rFonts w:ascii="Arial" w:hAnsi="Arial" w:eastAsia="Times New Roman" w:cs="Arial"/>
          <w:spacing w:val="-2"/>
          <w:sz w:val="18"/>
          <w:lang w:eastAsia="hi-IN" w:bidi="hi-IN"/>
        </w:rPr>
        <w:br w:type="page"/>
      </w: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SECCIÓN IV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EVALUACIÓN DE LAS OFERTAS</w:t>
      </w:r>
    </w:p>
    <w:p>
      <w:pPr>
        <w:tabs>
          <w:tab w:val="left" w:pos="-540"/>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  Evaluación de la oferta</w:t>
      </w:r>
    </w:p>
    <w:p>
      <w:pPr>
        <w:suppressAutoHyphens/>
        <w:spacing w:after="0" w:line="240" w:lineRule="auto"/>
        <w:jc w:val="both"/>
        <w:rPr>
          <w:rFonts w:ascii="Arial" w:hAnsi="Arial" w:eastAsia="Times New Roman" w:cs="Arial"/>
          <w:bCs/>
          <w:spacing w:val="-3"/>
          <w:sz w:val="20"/>
          <w:lang w:val="es-ES" w:eastAsia="hi-IN" w:bidi="hi-IN"/>
        </w:rPr>
      </w:pPr>
      <w:r>
        <w:rPr>
          <w:rFonts w:ascii="Arial" w:hAnsi="Arial" w:eastAsia="Times New Roman" w:cs="Arial"/>
          <w:b/>
          <w:bCs/>
          <w:spacing w:val="-3"/>
          <w:sz w:val="20"/>
          <w:lang w:val="es-ES" w:eastAsia="hi-IN" w:bidi="hi-IN"/>
        </w:rPr>
        <w:br w:type="textWrapping"/>
      </w:r>
      <w:r>
        <w:rPr>
          <w:rFonts w:ascii="Arial" w:hAnsi="Arial" w:eastAsia="Times New Roman" w:cs="Arial"/>
          <w:bCs/>
          <w:spacing w:val="-3"/>
          <w:sz w:val="20"/>
          <w:lang w:val="es-ES" w:eastAsia="hi-IN" w:bidi="hi-IN"/>
        </w:rPr>
        <w:t>Para la verificación del cumplimiento de integridad y requisitos mínimos, se estará a la metodología cumple / no cumple.</w:t>
      </w:r>
    </w:p>
    <w:p>
      <w:pPr>
        <w:suppressAutoHyphens/>
        <w:spacing w:after="0" w:line="240" w:lineRule="auto"/>
        <w:jc w:val="both"/>
        <w:rPr>
          <w:rFonts w:ascii="Arial" w:hAnsi="Arial" w:eastAsia="Times New Roman" w:cs="Arial"/>
          <w:b/>
          <w:bCs/>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4.1.1 Integridad de la oferta: </w:t>
      </w:r>
      <w:r>
        <w:rPr>
          <w:rFonts w:ascii="Arial" w:hAnsi="Arial" w:eastAsia="Times New Roman" w:cs="Arial"/>
          <w:spacing w:val="-3"/>
          <w:sz w:val="20"/>
          <w:lang w:val="es-ES" w:eastAsia="hi-IN" w:bidi="hi-IN"/>
        </w:rPr>
        <w:t xml:space="preserve">La integridad de la oferta se evaluará considerando la presentación de los Formularios y requisitos mínimos previstos en el pliego, de acuerdo con el siguiente detalle: </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ind w:firstLine="426"/>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I  Formulario de Oferta</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ind w:left="567" w:right="45"/>
        <w:jc w:val="both"/>
        <w:rPr>
          <w:rFonts w:ascii="Arial" w:hAnsi="Arial" w:eastAsia="Times New Roman" w:cs="Arial"/>
          <w:spacing w:val="-2"/>
          <w:sz w:val="20"/>
          <w:lang w:eastAsia="hi-IN" w:bidi="hi-IN"/>
        </w:rPr>
      </w:pPr>
      <w:r>
        <w:rPr>
          <w:rFonts w:ascii="Arial" w:hAnsi="Arial" w:eastAsia="Times New Roman" w:cs="Arial"/>
          <w:b/>
          <w:sz w:val="20"/>
          <w:lang w:eastAsia="hi-IN" w:bidi="hi-IN"/>
        </w:rPr>
        <w:t xml:space="preserve">1.1. - 1.2. </w:t>
      </w:r>
      <w:r>
        <w:rPr>
          <w:rFonts w:ascii="Arial" w:hAnsi="Arial" w:eastAsia="Times New Roman" w:cs="Arial"/>
          <w:sz w:val="20"/>
          <w:lang w:eastAsia="hi-IN" w:bidi="hi-IN"/>
        </w:rPr>
        <w:t>Carta de Presentación y compromiso (Formulario del Oferente FIRMADO).</w:t>
      </w:r>
    </w:p>
    <w:p>
      <w:pPr>
        <w:suppressAutoHyphens/>
        <w:spacing w:after="0" w:line="240" w:lineRule="auto"/>
        <w:ind w:left="567" w:right="45"/>
        <w:jc w:val="both"/>
        <w:rPr>
          <w:rFonts w:ascii="Arial" w:hAnsi="Arial" w:eastAsia="Times New Roman" w:cs="Arial"/>
          <w:sz w:val="20"/>
          <w:lang w:eastAsia="hi-IN" w:bidi="hi-IN"/>
        </w:rPr>
      </w:pPr>
      <w:r>
        <w:rPr>
          <w:rFonts w:ascii="Arial" w:hAnsi="Arial" w:eastAsia="Times New Roman" w:cs="Arial"/>
          <w:b/>
          <w:spacing w:val="-2"/>
          <w:sz w:val="20"/>
          <w:lang w:eastAsia="hi-IN" w:bidi="hi-IN"/>
        </w:rPr>
        <w:t xml:space="preserve">1.3. </w:t>
      </w:r>
      <w:r>
        <w:rPr>
          <w:rFonts w:ascii="Arial" w:hAnsi="Arial" w:eastAsia="Times New Roman" w:cs="Arial"/>
          <w:sz w:val="20"/>
          <w:lang w:eastAsia="hi-IN" w:bidi="hi-IN"/>
        </w:rPr>
        <w:t>Situación financiera. Los oferentes personas jurídicas deberán justificar el patrimonio de acuerdo lo señalado en la Resolución INCOP RE- 2013-000082 de fecha 15 de febrero 2013.</w:t>
      </w:r>
      <w:r>
        <w:rPr>
          <w:rFonts w:ascii="Arial" w:hAnsi="Arial" w:eastAsia="Times New Roman" w:cs="Arial"/>
          <w:sz w:val="20"/>
          <w:lang w:val="es-EC" w:eastAsia="hi-IN" w:bidi="hi-IN"/>
        </w:rPr>
        <w:t xml:space="preserve">(Actual Resolución </w:t>
      </w:r>
      <w:r>
        <w:rPr>
          <w:rFonts w:hint="default" w:ascii="Times" w:hAnsi="Times"/>
          <w:b/>
          <w:sz w:val="24"/>
          <w:lang w:val="es-ES" w:eastAsia="es-ES"/>
        </w:rPr>
        <w:t>RE- SERCOP-2016-0000072</w:t>
      </w:r>
      <w:r>
        <w:rPr>
          <w:rFonts w:hint="default" w:ascii="Times" w:hAnsi="Times"/>
          <w:b/>
          <w:sz w:val="24"/>
          <w:lang w:val="es-EC" w:eastAsia="es-ES"/>
        </w:rPr>
        <w:t>)</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1.4.</w:t>
      </w:r>
      <w:r>
        <w:rPr>
          <w:rFonts w:ascii="Arial" w:hAnsi="Arial" w:eastAsia="Times New Roman" w:cs="Arial"/>
          <w:sz w:val="20"/>
          <w:lang w:eastAsia="hi-IN" w:bidi="hi-IN"/>
        </w:rPr>
        <w:t xml:space="preserve">   Tabla de descripción de rubros, unidades, cantidades, precios unitarios y totales</w:t>
      </w:r>
    </w:p>
    <w:p>
      <w:pPr>
        <w:suppressAutoHyphens/>
        <w:spacing w:after="0" w:line="240" w:lineRule="auto"/>
        <w:ind w:left="567" w:right="45"/>
        <w:rPr>
          <w:rFonts w:ascii="Arial" w:hAnsi="Arial" w:eastAsia="Times New Roman" w:cs="Arial"/>
          <w:spacing w:val="-2"/>
          <w:sz w:val="20"/>
          <w:lang w:eastAsia="hi-IN" w:bidi="hi-IN"/>
        </w:rPr>
      </w:pPr>
      <w:r>
        <w:rPr>
          <w:rFonts w:ascii="Arial" w:hAnsi="Arial" w:eastAsia="Times New Roman" w:cs="Arial"/>
          <w:b/>
          <w:spacing w:val="-2"/>
          <w:sz w:val="20"/>
          <w:lang w:eastAsia="hi-IN" w:bidi="hi-IN"/>
        </w:rPr>
        <w:t>1.5.</w:t>
      </w:r>
      <w:r>
        <w:rPr>
          <w:rFonts w:ascii="Arial" w:hAnsi="Arial" w:eastAsia="Times New Roman" w:cs="Arial"/>
          <w:spacing w:val="-2"/>
          <w:sz w:val="20"/>
          <w:lang w:eastAsia="hi-IN" w:bidi="hi-IN"/>
        </w:rPr>
        <w:t xml:space="preserve">   Análisis de precios unitarios</w:t>
      </w:r>
    </w:p>
    <w:p>
      <w:pPr>
        <w:keepNext/>
        <w:keepLines/>
        <w:tabs>
          <w:tab w:val="left" w:pos="0"/>
        </w:tabs>
        <w:suppressAutoHyphens/>
        <w:spacing w:after="0" w:line="240" w:lineRule="auto"/>
        <w:ind w:left="567" w:right="45"/>
        <w:outlineLvl w:val="0"/>
        <w:rPr>
          <w:rFonts w:ascii="Arial" w:hAnsi="Arial" w:eastAsia="Times New Roman" w:cs="Arial"/>
          <w:bCs/>
          <w:sz w:val="20"/>
          <w:lang w:eastAsia="hi-IN" w:bidi="hi-IN"/>
        </w:rPr>
      </w:pPr>
      <w:r>
        <w:rPr>
          <w:rFonts w:ascii="Arial" w:hAnsi="Arial" w:eastAsia="Times New Roman" w:cs="Arial"/>
          <w:b/>
          <w:bCs/>
          <w:sz w:val="20"/>
          <w:lang w:eastAsia="hi-IN" w:bidi="hi-IN"/>
        </w:rPr>
        <w:t xml:space="preserve">1.6. </w:t>
      </w:r>
      <w:r>
        <w:rPr>
          <w:rFonts w:ascii="Arial" w:hAnsi="Arial" w:eastAsia="Times New Roman" w:cs="Arial"/>
          <w:bCs/>
          <w:sz w:val="20"/>
          <w:lang w:eastAsia="hi-IN" w:bidi="hi-IN"/>
        </w:rPr>
        <w:t xml:space="preserve">  Metodología de construcción</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1.7.</w:t>
      </w:r>
      <w:r>
        <w:rPr>
          <w:rFonts w:ascii="Arial" w:hAnsi="Arial" w:eastAsia="Times New Roman" w:cs="Arial"/>
          <w:sz w:val="20"/>
          <w:lang w:eastAsia="hi-IN" w:bidi="hi-IN"/>
        </w:rPr>
        <w:t xml:space="preserve">   Cronograma valorado de trabajos</w:t>
      </w:r>
    </w:p>
    <w:p>
      <w:pPr>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1.8.</w:t>
      </w:r>
      <w:r>
        <w:rPr>
          <w:rFonts w:ascii="Arial" w:hAnsi="Arial" w:eastAsia="Times New Roman" w:cs="Arial"/>
          <w:sz w:val="20"/>
          <w:lang w:eastAsia="hi-IN" w:bidi="hi-IN"/>
        </w:rPr>
        <w:t xml:space="preserve">   Experiencia Específica del oferente</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1.9.</w:t>
      </w:r>
      <w:r>
        <w:rPr>
          <w:rFonts w:ascii="Arial" w:hAnsi="Arial" w:eastAsia="Times New Roman" w:cs="Arial"/>
          <w:sz w:val="20"/>
          <w:lang w:eastAsia="hi-IN" w:bidi="hi-IN"/>
        </w:rPr>
        <w:t xml:space="preserve">   Personal técnico propuesto para el proyecto</w:t>
      </w:r>
    </w:p>
    <w:p>
      <w:pPr>
        <w:tabs>
          <w:tab w:val="left" w:pos="1418"/>
          <w:tab w:val="left" w:pos="1985"/>
        </w:tabs>
        <w:suppressAutoHyphens/>
        <w:spacing w:after="0" w:line="240" w:lineRule="auto"/>
        <w:ind w:left="567" w:right="45"/>
        <w:rPr>
          <w:rFonts w:ascii="Arial" w:hAnsi="Arial" w:eastAsia="Times New Roman" w:cs="Arial"/>
          <w:sz w:val="20"/>
          <w:lang w:eastAsia="hi-IN" w:bidi="hi-IN"/>
        </w:rPr>
      </w:pPr>
      <w:r>
        <w:rPr>
          <w:rFonts w:ascii="Arial" w:hAnsi="Arial" w:eastAsia="Times New Roman" w:cs="Arial"/>
          <w:b/>
          <w:sz w:val="20"/>
          <w:lang w:eastAsia="hi-IN" w:bidi="hi-IN"/>
        </w:rPr>
        <w:t>1.10.</w:t>
      </w:r>
      <w:r>
        <w:rPr>
          <w:rFonts w:ascii="Arial" w:hAnsi="Arial" w:eastAsia="Times New Roman" w:cs="Arial"/>
          <w:sz w:val="20"/>
          <w:lang w:eastAsia="hi-IN" w:bidi="hi-IN"/>
        </w:rPr>
        <w:t xml:space="preserve"> Equipo mínimo asignado al proyecto</w:t>
      </w:r>
    </w:p>
    <w:p>
      <w:pPr>
        <w:suppressAutoHyphens/>
        <w:spacing w:after="0" w:line="240" w:lineRule="auto"/>
        <w:ind w:left="1134" w:right="45" w:hanging="567"/>
        <w:rPr>
          <w:rFonts w:ascii="Arial" w:hAnsi="Arial" w:eastAsia="Times New Roman" w:cs="Arial"/>
          <w:sz w:val="20"/>
          <w:lang w:val="es-ES" w:eastAsia="hi-IN" w:bidi="hi-IN"/>
        </w:rPr>
      </w:pPr>
    </w:p>
    <w:p>
      <w:pPr>
        <w:widowControl w:val="0"/>
        <w:tabs>
          <w:tab w:val="left" w:pos="1560"/>
        </w:tabs>
        <w:suppressAutoHyphens/>
        <w:spacing w:after="0" w:line="240" w:lineRule="auto"/>
        <w:ind w:left="360" w:right="45"/>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 Formulario de compromiso de participación del personal técnico y hoja de vida</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2.1</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Compromiso FIRMADO por el personal asignado al proyecto</w:t>
      </w:r>
    </w:p>
    <w:p>
      <w:pPr>
        <w:widowControl w:val="0"/>
        <w:tabs>
          <w:tab w:val="left" w:pos="1134"/>
        </w:tabs>
        <w:suppressAutoHyphens/>
        <w:spacing w:after="0" w:line="240" w:lineRule="auto"/>
        <w:ind w:left="1134" w:right="45" w:hanging="567"/>
        <w:rPr>
          <w:rFonts w:ascii="Arial" w:hAnsi="Arial" w:eastAsia="Times New Roman" w:cs="Arial"/>
          <w:spacing w:val="-2"/>
          <w:sz w:val="20"/>
          <w:lang w:val="es-ES" w:eastAsia="hi-IN" w:bidi="hi-IN"/>
        </w:rPr>
      </w:pPr>
      <w:r>
        <w:rPr>
          <w:rFonts w:ascii="Arial" w:hAnsi="Arial" w:eastAsia="Times New Roman" w:cs="Arial"/>
          <w:b/>
          <w:spacing w:val="-2"/>
          <w:sz w:val="20"/>
          <w:lang w:val="es-ES" w:eastAsia="hi-IN" w:bidi="hi-IN"/>
        </w:rPr>
        <w:t>2.2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Hoja de vida del personal técnico asignado al proyecto</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widowControl w:val="0"/>
        <w:tabs>
          <w:tab w:val="left" w:pos="709"/>
        </w:tabs>
        <w:suppressAutoHyphens/>
        <w:spacing w:after="0" w:line="240" w:lineRule="auto"/>
        <w:ind w:left="709" w:right="45" w:hanging="349"/>
        <w:rPr>
          <w:rFonts w:ascii="Arial" w:hAnsi="Arial" w:eastAsia="Times New Roman" w:cs="Arial"/>
          <w:b/>
          <w:spacing w:val="-2"/>
          <w:sz w:val="20"/>
          <w:lang w:val="es-ES" w:eastAsia="hi-IN" w:bidi="hi-IN"/>
        </w:rPr>
      </w:pPr>
      <w:r>
        <w:rPr>
          <w:rFonts w:ascii="Arial" w:hAnsi="Arial" w:eastAsia="Times New Roman" w:cs="Arial"/>
          <w:b/>
          <w:spacing w:val="-2"/>
          <w:sz w:val="20"/>
          <w:lang w:val="es-ES" w:eastAsia="hi-IN" w:bidi="hi-IN"/>
        </w:rPr>
        <w:t>III</w:t>
      </w:r>
      <w:r>
        <w:rPr>
          <w:rFonts w:ascii="Arial" w:hAnsi="Arial" w:eastAsia="Times New Roman" w:cs="Arial"/>
          <w:b/>
          <w:spacing w:val="-2"/>
          <w:sz w:val="20"/>
          <w:lang w:val="es-ES" w:eastAsia="hi-IN" w:bidi="hi-IN"/>
        </w:rPr>
        <w:tab/>
      </w:r>
      <w:r>
        <w:rPr>
          <w:rFonts w:ascii="Arial" w:hAnsi="Arial" w:eastAsia="Times New Roman" w:cs="Arial"/>
          <w:b/>
          <w:spacing w:val="-2"/>
          <w:sz w:val="20"/>
          <w:lang w:val="es-ES" w:eastAsia="hi-IN" w:bidi="hi-IN"/>
        </w:rPr>
        <w:t xml:space="preserve">Formulario de compromiso de subcontratación (de ser procedente) </w:t>
      </w:r>
    </w:p>
    <w:p>
      <w:pPr>
        <w:widowControl w:val="0"/>
        <w:tabs>
          <w:tab w:val="left" w:pos="1560"/>
        </w:tabs>
        <w:suppressAutoHyphens/>
        <w:spacing w:after="0" w:line="240" w:lineRule="auto"/>
        <w:ind w:left="360" w:right="45"/>
        <w:rPr>
          <w:rFonts w:ascii="Arial" w:hAnsi="Arial" w:eastAsia="Times New Roman" w:cs="Arial"/>
          <w:spacing w:val="-2"/>
          <w:sz w:val="20"/>
          <w:lang w:val="es-ES" w:eastAsia="hi-IN" w:bidi="hi-IN"/>
        </w:rPr>
      </w:pPr>
    </w:p>
    <w:p>
      <w:pPr>
        <w:autoSpaceDE w:val="0"/>
        <w:autoSpaceDN w:val="0"/>
        <w:adjustRightInd w:val="0"/>
        <w:spacing w:after="0" w:line="240" w:lineRule="auto"/>
        <w:jc w:val="both"/>
        <w:rPr>
          <w:rFonts w:ascii="Arial" w:hAnsi="Arial" w:eastAsia="Calibri" w:cs="Arial"/>
          <w:bCs/>
          <w:sz w:val="20"/>
        </w:rPr>
      </w:pPr>
      <w:r>
        <w:rPr>
          <w:rFonts w:ascii="Arial" w:hAnsi="Arial" w:eastAsia="Calibri" w:cs="Arial"/>
          <w:bCs/>
          <w:sz w:val="20"/>
        </w:rPr>
        <w:t xml:space="preserve">El oferente, deberá además entregar y adjuntar a su oferta los siguientes documentos: </w:t>
      </w:r>
    </w:p>
    <w:p>
      <w:pPr>
        <w:tabs>
          <w:tab w:val="left" w:pos="2532"/>
        </w:tabs>
        <w:autoSpaceDE w:val="0"/>
        <w:autoSpaceDN w:val="0"/>
        <w:adjustRightInd w:val="0"/>
        <w:spacing w:after="0" w:line="240" w:lineRule="auto"/>
        <w:rPr>
          <w:rFonts w:ascii="Arial" w:hAnsi="Arial" w:eastAsia="Calibri" w:cs="Arial"/>
          <w:b/>
          <w:bCs/>
          <w:sz w:val="18"/>
          <w:szCs w:val="20"/>
          <w:highlight w:val="yellow"/>
        </w:rPr>
      </w:pPr>
    </w:p>
    <w:p>
      <w:pPr>
        <w:pStyle w:val="57"/>
        <w:numPr>
          <w:ilvl w:val="0"/>
          <w:numId w:val="3"/>
        </w:numPr>
        <w:autoSpaceDE w:val="0"/>
        <w:autoSpaceDN w:val="0"/>
        <w:adjustRightInd w:val="0"/>
        <w:jc w:val="both"/>
        <w:rPr>
          <w:rFonts w:ascii="Arial" w:hAnsi="Arial" w:cs="Arial"/>
          <w:bCs/>
          <w:sz w:val="20"/>
        </w:rPr>
      </w:pPr>
      <w:r>
        <w:rPr>
          <w:rFonts w:ascii="Arial" w:hAnsi="Arial" w:cs="Arial"/>
          <w:bCs/>
          <w:sz w:val="20"/>
        </w:rPr>
        <w:t>Su oferta física anillada, foliada, rubricada y FIRMADA, en Original, Copia y en Formato Digital (Oferta Económica).</w:t>
      </w:r>
    </w:p>
    <w:p>
      <w:pPr>
        <w:autoSpaceDE w:val="0"/>
        <w:autoSpaceDN w:val="0"/>
        <w:adjustRightInd w:val="0"/>
        <w:spacing w:after="0" w:line="240" w:lineRule="auto"/>
        <w:jc w:val="both"/>
        <w:rPr>
          <w:rFonts w:ascii="Arial" w:hAnsi="Arial" w:eastAsia="Times New Roman" w:cs="Arial"/>
          <w:b/>
          <w:bCs/>
          <w:sz w:val="20"/>
          <w:lang w:eastAsia="hi-IN" w:bidi="hi-IN"/>
        </w:rPr>
      </w:pPr>
    </w:p>
    <w:p>
      <w:pPr>
        <w:autoSpaceDE w:val="0"/>
        <w:autoSpaceDN w:val="0"/>
        <w:adjustRightInd w:val="0"/>
        <w:spacing w:after="0" w:line="240" w:lineRule="auto"/>
        <w:jc w:val="both"/>
        <w:rPr>
          <w:rFonts w:ascii="Arial" w:hAnsi="Arial" w:eastAsia="Times New Roman" w:cs="Arial"/>
          <w:b/>
          <w:bCs/>
          <w:sz w:val="20"/>
          <w:lang w:eastAsia="hi-IN" w:bidi="hi-IN"/>
        </w:rPr>
      </w:pPr>
      <w:r>
        <w:rPr>
          <w:rFonts w:ascii="Arial" w:hAnsi="Arial" w:eastAsia="Times New Roman" w:cs="Arial"/>
          <w:b/>
          <w:bCs/>
          <w:sz w:val="20"/>
          <w:lang w:eastAsia="hi-IN" w:bidi="hi-IN"/>
        </w:rPr>
        <w:t>4.1.2 Equipo mínimo: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Para la ejecución de la obra materia del presente procedimiento, el Contratista deberá contar mínimo con el siguiente equipo:</w:t>
      </w:r>
    </w:p>
    <w:p>
      <w:pPr>
        <w:suppressAutoHyphens/>
        <w:spacing w:after="0" w:line="240" w:lineRule="auto"/>
        <w:jc w:val="both"/>
        <w:rPr>
          <w:rFonts w:ascii="Arial" w:hAnsi="Arial" w:eastAsia="Times New Roman" w:cs="Arial"/>
          <w:spacing w:val="-3"/>
          <w:sz w:val="20"/>
          <w:lang w:eastAsia="hi-IN" w:bidi="hi-IN"/>
        </w:rPr>
      </w:pPr>
    </w:p>
    <w:tbl>
      <w:tblPr>
        <w:tblStyle w:val="46"/>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377"/>
        <w:gridCol w:w="11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3"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orden</w:t>
            </w:r>
          </w:p>
        </w:tc>
        <w:tc>
          <w:tcPr>
            <w:tcW w:w="3377"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val="pt-BR" w:eastAsia="hi-IN" w:bidi="hi-IN"/>
              </w:rPr>
              <w:t>Descripcióndel equipo</w:t>
            </w:r>
          </w:p>
        </w:tc>
        <w:tc>
          <w:tcPr>
            <w:tcW w:w="113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No. de unidades</w:t>
            </w:r>
          </w:p>
        </w:tc>
        <w:tc>
          <w:tcPr>
            <w:tcW w:w="3574" w:type="dxa"/>
            <w:shd w:val="clear" w:color="auto" w:fill="D9D9D9"/>
            <w:vAlign w:val="center"/>
          </w:tcPr>
          <w:p>
            <w:pPr>
              <w:tabs>
                <w:tab w:val="left" w:pos="180"/>
              </w:tabs>
              <w:suppressAutoHyphens/>
              <w:spacing w:after="0" w:line="240" w:lineRule="auto"/>
              <w:jc w:val="center"/>
              <w:rPr>
                <w:rFonts w:ascii="Arial" w:hAnsi="Arial" w:eastAsia="Times New Roman" w:cs="Arial"/>
                <w:b/>
                <w:spacing w:val="-2"/>
                <w:sz w:val="20"/>
                <w:lang w:eastAsia="hi-IN" w:bidi="hi-IN"/>
              </w:rPr>
            </w:pPr>
            <w:r>
              <w:rPr>
                <w:rFonts w:ascii="Arial" w:hAnsi="Arial" w:eastAsia="Times New Roman" w:cs="Arial"/>
                <w:b/>
                <w:sz w:val="20"/>
                <w:lang w:eastAsia="hi-IN" w:bidi="hi-IN"/>
              </w:rPr>
              <w:t>Características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b/>
                <w:spacing w:val="-2"/>
                <w:sz w:val="20"/>
                <w:highlight w:val="yellow"/>
                <w:lang w:eastAsia="hi-IN" w:bidi="hi-IN"/>
              </w:rPr>
            </w:pPr>
            <w:r>
              <w:rPr>
                <w:rFonts w:ascii="Arial" w:hAnsi="Arial" w:eastAsia="Times New Roman" w:cs="Arial"/>
                <w:sz w:val="20"/>
                <w:lang w:val="es-ES" w:eastAsia="es-ES" w:bidi="hi-IN"/>
              </w:rPr>
              <w:t xml:space="preserve">Retroexcavadora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Mínimo 90 HP.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bCs/>
                <w:spacing w:val="-3"/>
                <w:sz w:val="20"/>
                <w:lang w:eastAsia="hi-IN" w:bidi="hi-IN"/>
              </w:rPr>
              <w:t xml:space="preserve">Minicargadora  con </w:t>
            </w:r>
            <w:r>
              <w:rPr>
                <w:rFonts w:ascii="Arial" w:hAnsi="Arial" w:eastAsia="Times New Roman" w:cs="Arial"/>
                <w:sz w:val="20"/>
                <w:lang w:val="es-ES" w:eastAsia="es-ES" w:bidi="hi-IN"/>
              </w:rPr>
              <w:t>escoba mecánica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60 HP. Escoba con cepillo auto cambiable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3</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Motoniveladora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125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4</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compactador liso (Tándem)</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100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
                <w:spacing w:val="-2"/>
                <w:sz w:val="20"/>
                <w:lang w:eastAsia="hi-IN" w:bidi="hi-IN"/>
              </w:rPr>
            </w:pPr>
            <w:r>
              <w:rPr>
                <w:rFonts w:ascii="Arial" w:hAnsi="Arial" w:eastAsia="Times New Roman" w:cs="Arial"/>
                <w:bCs/>
                <w:spacing w:val="-3"/>
                <w:sz w:val="20"/>
                <w:lang w:eastAsia="hi-IN" w:bidi="hi-IN"/>
              </w:rPr>
              <w:t>5</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Rodillo neumático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85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6</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Distribuidor de asfalto</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1500 galones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7</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Acabadora de pavimento asfáltico (finisher)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150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8</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Tanquero de agua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6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9</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highlight w:val="yellow"/>
                <w:lang w:val="es-ES" w:eastAsia="es-ES" w:bidi="hi-IN"/>
              </w:rPr>
            </w:pPr>
            <w:r>
              <w:rPr>
                <w:rFonts w:ascii="Arial" w:hAnsi="Arial" w:eastAsia="Times New Roman" w:cs="Arial"/>
                <w:sz w:val="20"/>
                <w:lang w:val="es-ES" w:eastAsia="es-ES" w:bidi="hi-IN"/>
              </w:rPr>
              <w:t xml:space="preserve">Volquetas  </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4</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8,00 m³ o 12 Toneladas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10</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Vibroapisonador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3</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Plancha compactadora</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Mínimo 4,8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12</w:t>
            </w:r>
          </w:p>
        </w:tc>
        <w:tc>
          <w:tcPr>
            <w:tcW w:w="3377" w:type="dxa"/>
            <w:shd w:val="clear" w:color="auto" w:fill="auto"/>
            <w:vAlign w:val="center"/>
          </w:tcPr>
          <w:p>
            <w:pPr>
              <w:tabs>
                <w:tab w:val="left" w:pos="180"/>
              </w:tabs>
              <w:suppressAutoHyphens/>
              <w:spacing w:before="60" w:after="60" w:line="240" w:lineRule="auto"/>
              <w:rPr>
                <w:rFonts w:ascii="Arial" w:hAnsi="Arial" w:eastAsia="Times New Roman" w:cs="Arial"/>
                <w:sz w:val="20"/>
                <w:lang w:val="es-ES" w:eastAsia="es-ES" w:bidi="hi-IN"/>
              </w:rPr>
            </w:pPr>
            <w:r>
              <w:rPr>
                <w:rFonts w:ascii="Arial" w:hAnsi="Arial" w:eastAsia="Times New Roman" w:cs="Arial"/>
                <w:sz w:val="20"/>
                <w:lang w:val="es-ES" w:eastAsia="es-ES" w:bidi="hi-IN"/>
              </w:rPr>
              <w:t>Vibrador</w:t>
            </w:r>
          </w:p>
        </w:tc>
        <w:tc>
          <w:tcPr>
            <w:tcW w:w="1134" w:type="dxa"/>
            <w:shd w:val="clear" w:color="auto" w:fill="auto"/>
            <w:vAlign w:val="center"/>
          </w:tcPr>
          <w:p>
            <w:pPr>
              <w:tabs>
                <w:tab w:val="left" w:pos="180"/>
              </w:tabs>
              <w:suppressAutoHyphens/>
              <w:spacing w:before="60" w:after="60" w:line="240" w:lineRule="auto"/>
              <w:jc w:val="center"/>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2</w:t>
            </w:r>
          </w:p>
        </w:tc>
        <w:tc>
          <w:tcPr>
            <w:tcW w:w="3574" w:type="dxa"/>
            <w:shd w:val="clear" w:color="auto" w:fill="auto"/>
            <w:vAlign w:val="center"/>
          </w:tcPr>
          <w:p>
            <w:pPr>
              <w:tabs>
                <w:tab w:val="left" w:pos="180"/>
              </w:tabs>
              <w:suppressAutoHyphens/>
              <w:spacing w:before="60" w:after="60" w:line="240" w:lineRule="auto"/>
              <w:rPr>
                <w:rFonts w:ascii="Arial" w:hAnsi="Arial" w:eastAsia="Times New Roman" w:cs="Arial"/>
                <w:spacing w:val="-2"/>
                <w:sz w:val="20"/>
                <w:lang w:eastAsia="hi-IN" w:bidi="hi-IN"/>
              </w:rPr>
            </w:pPr>
            <w:r>
              <w:rPr>
                <w:rFonts w:ascii="Arial" w:hAnsi="Arial" w:eastAsia="Times New Roman" w:cs="Arial"/>
                <w:spacing w:val="-2"/>
                <w:sz w:val="20"/>
                <w:lang w:eastAsia="hi-IN" w:bidi="hi-IN"/>
              </w:rPr>
              <w:t>Eléctrico o a gasolina</w:t>
            </w:r>
          </w:p>
        </w:tc>
      </w:tr>
    </w:tbl>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Arial" w:hAnsi="Arial" w:cs="Arial"/>
          <w:i/>
        </w:rPr>
        <w:t>Los Equipos y maquinaria que vayan a utilizarse en los procesos de contratación pública, con cualquier entidad u organismo del Estado, no podrán exceder los veinte y cinco años de vida útil contados a partir del año de fabricación y en relación a la fecha de la convocatoria pública. “Acuerdo Ministerial No. 79 del Registro oficial No.62 de fecha 21 de Octubre de 2012, disposición General Segunda”.</w:t>
      </w:r>
    </w:p>
    <w:p>
      <w:pPr>
        <w:tabs>
          <w:tab w:val="left" w:pos="3196"/>
        </w:tabs>
        <w:suppressAutoHyphens/>
        <w:spacing w:after="0" w:line="240" w:lineRule="auto"/>
        <w:jc w:val="both"/>
        <w:rPr>
          <w:rFonts w:ascii="Arial" w:hAnsi="Arial" w:eastAsia="Times New Roman" w:cs="Arial"/>
          <w:b/>
          <w:szCs w:val="24"/>
          <w:lang w:eastAsia="hi-IN" w:bidi="hi-IN"/>
        </w:rPr>
      </w:pPr>
    </w:p>
    <w:p>
      <w:pPr>
        <w:tabs>
          <w:tab w:val="left" w:pos="3196"/>
        </w:tabs>
        <w:suppressAutoHyphens/>
        <w:spacing w:after="0" w:line="240" w:lineRule="auto"/>
        <w:jc w:val="both"/>
        <w:rPr>
          <w:rFonts w:ascii="Arial" w:hAnsi="Arial" w:eastAsia="Times New Roman" w:cs="Arial"/>
          <w:b/>
          <w:szCs w:val="24"/>
          <w:lang w:eastAsia="hi-IN" w:bidi="hi-IN"/>
        </w:rPr>
      </w:pPr>
      <w:r>
        <w:rPr>
          <w:rFonts w:ascii="Arial" w:hAnsi="Arial" w:eastAsia="Times New Roman" w:cs="Arial"/>
          <w:b/>
          <w:szCs w:val="24"/>
          <w:lang w:eastAsia="hi-IN" w:bidi="hi-IN"/>
        </w:rPr>
        <w:t xml:space="preserve">El oferente deberá demostrar en su propuesta la disponibilidad del equipo solicitado, mediante la presentación de facturas, compromisos de alquiler, compromisos de compra y/o matrículas vigentes para la maquinaria pesada; para el caso de las volquetas: matrícula y certificados de Revisión Vehicular vigente de acuerdo al último dígito de la placa. Este equipo deberá permanecer durante la ejecución de la obra, de conformidad con el cronograma de ejecución de los trabajos y deberán estar en óptimas condiciones de operación. </w:t>
      </w:r>
    </w:p>
    <w:p>
      <w:pPr>
        <w:suppressAutoHyphens/>
        <w:spacing w:after="0" w:line="240" w:lineRule="auto"/>
        <w:jc w:val="both"/>
        <w:rPr>
          <w:rFonts w:ascii="Arial" w:hAnsi="Arial" w:eastAsia="Times New Roman" w:cs="Arial"/>
          <w:spacing w:val="-3"/>
          <w:sz w:val="20"/>
          <w:highlight w:val="green"/>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matrículas VIGENTES del equipo propuesto por parte de los oferentes, ya sea que el equipo fuese de su propiedad, o se ofrezca bajo arriendo o compromiso de arrendamiento. </w:t>
      </w:r>
    </w:p>
    <w:p>
      <w:pPr>
        <w:suppressAutoHyphens/>
        <w:spacing w:after="0" w:line="200" w:lineRule="exact"/>
        <w:rPr>
          <w:rFonts w:ascii="Arial" w:hAnsi="Arial" w:eastAsia="Times New Roman" w:cs="Arial"/>
          <w:szCs w:val="20"/>
          <w:lang w:val="es-ES" w:eastAsia="hi-IN" w:bidi="hi-IN"/>
        </w:rPr>
      </w:pPr>
    </w:p>
    <w:p>
      <w:pPr>
        <w:tabs>
          <w:tab w:val="left" w:pos="15"/>
        </w:tabs>
        <w:suppressAutoHyphens/>
        <w:spacing w:after="0" w:line="240" w:lineRule="auto"/>
        <w:jc w:val="both"/>
        <w:rPr>
          <w:rFonts w:ascii="Arial" w:hAnsi="Arial" w:eastAsia="Calibri" w:cs="Arial"/>
          <w:bCs/>
          <w:sz w:val="20"/>
          <w:lang w:eastAsia="hi-IN" w:bidi="hi-IN"/>
        </w:rPr>
      </w:pPr>
      <w:r>
        <w:rPr>
          <w:rFonts w:ascii="Arial" w:hAnsi="Arial" w:eastAsia="Calibri" w:cs="Arial"/>
          <w:bCs/>
          <w:sz w:val="20"/>
          <w:lang w:eastAsia="hi-IN" w:bidi="hi-IN"/>
        </w:rPr>
        <w:t>Es responsabilidad del contratista la disponer de todo el equipo menor o secundario que sea necesario durante la construcción de todas las obras.</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4.1.3 Personal técnico mínimo: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Cs/>
          <w:spacing w:val="-3"/>
          <w:sz w:val="20"/>
          <w:lang w:val="es-ES" w:eastAsia="hi-IN" w:bidi="hi-IN"/>
        </w:rPr>
      </w:pPr>
    </w:p>
    <w:p>
      <w:pPr>
        <w:suppressAutoHyphens/>
        <w:spacing w:after="0" w:line="240" w:lineRule="auto"/>
        <w:ind w:right="96"/>
        <w:jc w:val="both"/>
        <w:rPr>
          <w:rFonts w:ascii="Arial" w:hAnsi="Arial" w:eastAsia="Calibri" w:cs="Arial"/>
          <w:bCs/>
          <w:sz w:val="20"/>
          <w:lang w:eastAsia="hi-IN" w:bidi="hi-IN"/>
        </w:rPr>
      </w:pPr>
      <w:r>
        <w:rPr>
          <w:rFonts w:ascii="Arial" w:hAnsi="Arial" w:eastAsia="Calibri" w:cs="Arial"/>
          <w:bCs/>
          <w:sz w:val="20"/>
          <w:lang w:eastAsia="hi-IN" w:bidi="hi-IN"/>
        </w:rPr>
        <w:t>El Personal Técnico mínimo que deberá presentarse dentro de la oferta es el siguiente:</w:t>
      </w:r>
    </w:p>
    <w:p>
      <w:pPr>
        <w:tabs>
          <w:tab w:val="left" w:pos="15"/>
        </w:tabs>
        <w:suppressAutoHyphens/>
        <w:spacing w:after="0" w:line="240" w:lineRule="auto"/>
        <w:jc w:val="both"/>
        <w:rPr>
          <w:rFonts w:ascii="Arial" w:hAnsi="Arial" w:eastAsia="Times New Roman" w:cs="Arial"/>
          <w:bCs/>
          <w:spacing w:val="-3"/>
          <w:sz w:val="20"/>
          <w:lang w:eastAsia="hi-IN" w:bidi="hi-IN"/>
        </w:rPr>
      </w:pPr>
    </w:p>
    <w:tbl>
      <w:tblPr>
        <w:tblStyle w:val="46"/>
        <w:tblW w:w="7917" w:type="dxa"/>
        <w:jc w:val="center"/>
        <w:tblInd w:w="0" w:type="dxa"/>
        <w:tblLayout w:type="fixed"/>
        <w:tblCellMar>
          <w:top w:w="0" w:type="dxa"/>
          <w:left w:w="70" w:type="dxa"/>
          <w:bottom w:w="0" w:type="dxa"/>
          <w:right w:w="70" w:type="dxa"/>
        </w:tblCellMar>
      </w:tblPr>
      <w:tblGrid>
        <w:gridCol w:w="2683"/>
        <w:gridCol w:w="2662"/>
        <w:gridCol w:w="1656"/>
        <w:gridCol w:w="916"/>
      </w:tblGrid>
      <w:tr>
        <w:tblPrEx>
          <w:tblLayout w:type="fixed"/>
          <w:tblCellMar>
            <w:top w:w="0" w:type="dxa"/>
            <w:left w:w="70" w:type="dxa"/>
            <w:bottom w:w="0" w:type="dxa"/>
            <w:right w:w="70" w:type="dxa"/>
          </w:tblCellMar>
        </w:tblPrEx>
        <w:trPr>
          <w:trHeight w:val="1113" w:hRule="atLeast"/>
          <w:jc w:val="center"/>
        </w:trPr>
        <w:tc>
          <w:tcPr>
            <w:tcW w:w="2683" w:type="dxa"/>
            <w:tcBorders>
              <w:top w:val="double" w:color="000000" w:sz="2" w:space="0"/>
              <w:left w:val="double" w:color="000000" w:sz="2"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val="pt-BR" w:eastAsia="hi-IN" w:bidi="hi-IN"/>
              </w:rPr>
            </w:pPr>
            <w:r>
              <w:rPr>
                <w:rFonts w:ascii="Arial" w:hAnsi="Arial" w:eastAsia="Times New Roman" w:cs="Arial"/>
                <w:b/>
                <w:bCs/>
                <w:i/>
                <w:sz w:val="20"/>
                <w:lang w:val="pt-BR" w:eastAsia="hi-IN" w:bidi="hi-IN"/>
              </w:rPr>
              <w:t>FUNCIONES DEL PERSONAL MÍNIMO REQUERIDO</w:t>
            </w:r>
          </w:p>
        </w:tc>
        <w:tc>
          <w:tcPr>
            <w:tcW w:w="2662"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TITUO PROFESIONAL</w:t>
            </w:r>
          </w:p>
        </w:tc>
        <w:tc>
          <w:tcPr>
            <w:tcW w:w="1656" w:type="dxa"/>
            <w:tcBorders>
              <w:top w:val="double" w:color="000000" w:sz="2" w:space="0"/>
              <w:left w:val="single" w:color="000000" w:sz="4" w:space="0"/>
              <w:bottom w:val="doub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TIEMPO DE PARTICI-PACIÓN (Mínimo)</w:t>
            </w:r>
          </w:p>
        </w:tc>
        <w:tc>
          <w:tcPr>
            <w:tcW w:w="916" w:type="dxa"/>
            <w:tcBorders>
              <w:top w:val="double" w:color="000000" w:sz="2" w:space="0"/>
              <w:left w:val="single" w:color="000000" w:sz="4" w:space="0"/>
              <w:bottom w:val="doub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b/>
                <w:bCs/>
                <w:i/>
                <w:sz w:val="20"/>
                <w:lang w:eastAsia="hi-IN" w:bidi="hi-IN"/>
              </w:rPr>
            </w:pPr>
            <w:r>
              <w:rPr>
                <w:rFonts w:ascii="Arial" w:hAnsi="Arial" w:eastAsia="Times New Roman" w:cs="Arial"/>
                <w:b/>
                <w:bCs/>
                <w:i/>
                <w:sz w:val="20"/>
                <w:lang w:eastAsia="hi-IN" w:bidi="hi-IN"/>
              </w:rPr>
              <w:t>CANT.</w:t>
            </w:r>
          </w:p>
        </w:tc>
      </w:tr>
      <w:tr>
        <w:tblPrEx>
          <w:tblLayout w:type="fixed"/>
          <w:tblCellMar>
            <w:top w:w="0" w:type="dxa"/>
            <w:left w:w="70" w:type="dxa"/>
            <w:bottom w:w="0" w:type="dxa"/>
            <w:right w:w="70" w:type="dxa"/>
          </w:tblCellMar>
        </w:tblPrEx>
        <w:trPr>
          <w:trHeight w:val="354" w:hRule="atLeast"/>
          <w:jc w:val="center"/>
        </w:trPr>
        <w:tc>
          <w:tcPr>
            <w:tcW w:w="2683" w:type="dxa"/>
            <w:tcBorders>
              <w:top w:val="doub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 xml:space="preserve">Superintendente de Obra </w:t>
            </w:r>
            <w:r>
              <w:rPr>
                <w:rFonts w:ascii="Arial" w:hAnsi="Arial" w:eastAsia="Times New Roman" w:cs="Arial"/>
                <w:spacing w:val="-3"/>
                <w:sz w:val="20"/>
                <w:lang w:eastAsia="hi-IN" w:bidi="hi-IN"/>
              </w:rPr>
              <w:t>(Puede ser el Oferente)</w:t>
            </w:r>
          </w:p>
        </w:tc>
        <w:tc>
          <w:tcPr>
            <w:tcW w:w="2662"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doub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doub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r>
        <w:tblPrEx>
          <w:tblLayout w:type="fixed"/>
          <w:tblCellMar>
            <w:top w:w="0" w:type="dxa"/>
            <w:left w:w="70" w:type="dxa"/>
            <w:bottom w:w="0" w:type="dxa"/>
            <w:right w:w="70" w:type="dxa"/>
          </w:tblCellMar>
        </w:tblPrEx>
        <w:trPr>
          <w:trHeight w:val="354" w:hRule="atLeast"/>
          <w:jc w:val="center"/>
        </w:trPr>
        <w:tc>
          <w:tcPr>
            <w:tcW w:w="2683" w:type="dxa"/>
            <w:tcBorders>
              <w:top w:val="single" w:color="000000" w:sz="4" w:space="0"/>
              <w:left w:val="double" w:color="000000" w:sz="2"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pacing w:val="-3"/>
                <w:sz w:val="20"/>
                <w:lang w:eastAsia="hi-IN" w:bidi="hi-IN"/>
              </w:rPr>
              <w:t>Residente de Obra</w:t>
            </w:r>
          </w:p>
        </w:tc>
        <w:tc>
          <w:tcPr>
            <w:tcW w:w="2662"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CIVIL</w:t>
            </w:r>
          </w:p>
        </w:tc>
        <w:tc>
          <w:tcPr>
            <w:tcW w:w="1656" w:type="dxa"/>
            <w:tcBorders>
              <w:top w:val="single" w:color="000000" w:sz="4" w:space="0"/>
              <w:left w:val="single" w:color="000000" w:sz="4" w:space="0"/>
              <w:bottom w:val="single" w:color="000000" w:sz="4"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100%</w:t>
            </w:r>
          </w:p>
        </w:tc>
        <w:tc>
          <w:tcPr>
            <w:tcW w:w="916" w:type="dxa"/>
            <w:tcBorders>
              <w:top w:val="single" w:color="000000" w:sz="4" w:space="0"/>
              <w:left w:val="single" w:color="000000" w:sz="4" w:space="0"/>
              <w:bottom w:val="single" w:color="000000" w:sz="4"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w:t>
            </w:r>
          </w:p>
        </w:tc>
      </w:tr>
      <w:tr>
        <w:tblPrEx>
          <w:tblLayout w:type="fixed"/>
          <w:tblCellMar>
            <w:top w:w="0" w:type="dxa"/>
            <w:left w:w="70" w:type="dxa"/>
            <w:bottom w:w="0" w:type="dxa"/>
            <w:right w:w="70" w:type="dxa"/>
          </w:tblCellMar>
        </w:tblPrEx>
        <w:trPr>
          <w:trHeight w:val="1383" w:hRule="atLeast"/>
          <w:jc w:val="center"/>
        </w:trPr>
        <w:tc>
          <w:tcPr>
            <w:tcW w:w="2683" w:type="dxa"/>
            <w:tcBorders>
              <w:top w:val="single" w:color="000000" w:sz="4" w:space="0"/>
              <w:left w:val="double" w:color="000000" w:sz="2"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Especialista Ambiental</w:t>
            </w:r>
          </w:p>
        </w:tc>
        <w:tc>
          <w:tcPr>
            <w:tcW w:w="2662"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INGENIERO AMBIENTAL O</w:t>
            </w:r>
            <w:r>
              <w:rPr>
                <w:rFonts w:ascii="Arial" w:hAnsi="Arial" w:eastAsia="Times New Roman" w:cs="Arial"/>
                <w:spacing w:val="-3"/>
                <w:sz w:val="20"/>
                <w:lang w:val="es-ES" w:eastAsia="hi-IN" w:bidi="hi-IN"/>
              </w:rPr>
              <w:t xml:space="preserve"> ESPECIALIDAD O CUARTO NIVEL EN TEMAS AMBIENTALES</w:t>
            </w:r>
          </w:p>
        </w:tc>
        <w:tc>
          <w:tcPr>
            <w:tcW w:w="1656" w:type="dxa"/>
            <w:tcBorders>
              <w:top w:val="single" w:color="000000" w:sz="4" w:space="0"/>
              <w:left w:val="single" w:color="000000" w:sz="4" w:space="0"/>
              <w:bottom w:val="double" w:color="000000" w:sz="2" w:space="0"/>
              <w:right w:val="single" w:color="000000"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25%</w:t>
            </w:r>
          </w:p>
        </w:tc>
        <w:tc>
          <w:tcPr>
            <w:tcW w:w="916" w:type="dxa"/>
            <w:tcBorders>
              <w:top w:val="single" w:color="000000" w:sz="4" w:space="0"/>
              <w:left w:val="single" w:color="000000" w:sz="4" w:space="0"/>
              <w:bottom w:val="double" w:color="000000" w:sz="2" w:space="0"/>
              <w:right w:val="double" w:color="auto" w:sz="4" w:space="0"/>
            </w:tcBorders>
            <w:vAlign w:val="center"/>
          </w:tcPr>
          <w:p>
            <w:pPr>
              <w:suppressAutoHyphens/>
              <w:snapToGrid w:val="0"/>
              <w:spacing w:after="0" w:line="240" w:lineRule="auto"/>
              <w:ind w:left="15" w:right="45"/>
              <w:jc w:val="center"/>
              <w:rPr>
                <w:rFonts w:ascii="Arial" w:hAnsi="Arial" w:eastAsia="Times New Roman" w:cs="Arial"/>
                <w:sz w:val="20"/>
                <w:lang w:eastAsia="hi-IN" w:bidi="hi-IN"/>
              </w:rPr>
            </w:pPr>
            <w:r>
              <w:rPr>
                <w:rFonts w:ascii="Arial" w:hAnsi="Arial" w:eastAsia="Times New Roman" w:cs="Arial"/>
                <w:sz w:val="20"/>
                <w:lang w:eastAsia="hi-IN" w:bidi="hi-IN"/>
              </w:rPr>
              <w:t>1</w:t>
            </w:r>
          </w:p>
        </w:tc>
      </w:tr>
    </w:tbl>
    <w:p>
      <w:pPr>
        <w:tabs>
          <w:tab w:val="left" w:pos="15"/>
        </w:tabs>
        <w:suppressAutoHyphens/>
        <w:spacing w:after="0" w:line="240" w:lineRule="auto"/>
        <w:ind w:left="735"/>
        <w:jc w:val="both"/>
        <w:rPr>
          <w:rFonts w:ascii="Arial" w:hAnsi="Arial" w:eastAsia="Calibri" w:cs="Arial"/>
          <w:spacing w:val="-3"/>
          <w:sz w:val="20"/>
          <w:lang w:val="es-ES" w:eastAsia="hi-IN" w:bidi="hi-IN"/>
        </w:rPr>
      </w:pPr>
    </w:p>
    <w:p>
      <w:pPr>
        <w:tabs>
          <w:tab w:val="left" w:pos="-720"/>
        </w:tabs>
        <w:suppressAutoHyphens/>
        <w:spacing w:after="0" w:line="240" w:lineRule="auto"/>
        <w:jc w:val="both"/>
        <w:rPr>
          <w:rFonts w:ascii="Arial" w:hAnsi="Arial" w:eastAsia="Times New Roman" w:cs="Arial"/>
          <w:spacing w:val="-3"/>
          <w:sz w:val="20"/>
          <w:highlight w:val="green"/>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4.1.4 Formación Profesional y Experiencia mínima del Personal Técnico</w:t>
      </w: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val="es-ES" w:eastAsia="ar-SA"/>
        </w:rPr>
      </w:pPr>
    </w:p>
    <w:p>
      <w:pPr>
        <w:tabs>
          <w:tab w:val="left" w:pos="0"/>
          <w:tab w:val="left" w:pos="851"/>
        </w:tabs>
        <w:suppressAutoHyphens/>
        <w:spacing w:after="0" w:line="240" w:lineRule="auto"/>
        <w:ind w:right="-1"/>
        <w:rPr>
          <w:rFonts w:ascii="Arial" w:hAnsi="Arial" w:eastAsia="Times New Roman" w:cs="Arial"/>
          <w:spacing w:val="-3"/>
          <w:sz w:val="20"/>
          <w:lang w:val="es-ES" w:eastAsia="hi-IN" w:bidi="hi-IN"/>
        </w:rPr>
      </w:pPr>
      <w:r>
        <w:rPr>
          <w:rFonts w:ascii="Arial" w:hAnsi="Arial" w:eastAsia="Calibri" w:cs="Arial"/>
          <w:b/>
          <w:i/>
          <w:sz w:val="20"/>
          <w:lang w:eastAsia="ar-SA" w:bidi="hi-IN"/>
        </w:rPr>
        <w:t>4.1.4.1</w:t>
      </w:r>
      <w:r>
        <w:rPr>
          <w:rFonts w:ascii="Arial" w:hAnsi="Arial" w:eastAsia="Calibri" w:cs="Arial"/>
          <w:b/>
          <w:i/>
          <w:sz w:val="20"/>
          <w:lang w:eastAsia="ar-SA" w:bidi="hi-IN"/>
        </w:rPr>
        <w:tab/>
      </w:r>
      <w:r>
        <w:rPr>
          <w:rFonts w:ascii="Arial" w:hAnsi="Arial" w:eastAsia="Calibri" w:cs="Arial"/>
          <w:b/>
          <w:i/>
          <w:sz w:val="20"/>
          <w:lang w:eastAsia="ar-SA" w:bidi="hi-IN"/>
        </w:rPr>
        <w:t xml:space="preserve">Superintendente (Puede ser el Oferente)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Deberá disponer de título de tercer nivel en Ingeniería Civil registrado en el Senescyt, tener por lo menos 15 años de experiencia contados a partir de la obtención del título de tercer nivel.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Demostrar experiencia dentro de los últimos 15 años, de haber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50% del presupuesto referencial del presente proceso, en un máximo de 3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4"/>
        </w:numPr>
        <w:tabs>
          <w:tab w:val="left" w:pos="-720"/>
        </w:tabs>
        <w:suppressAutoHyphens/>
        <w:spacing w:after="0" w:line="240" w:lineRule="auto"/>
        <w:ind w:left="709"/>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i/>
          <w:spacing w:val="-3"/>
          <w:sz w:val="20"/>
          <w:lang w:val="es-ES"/>
        </w:rPr>
      </w:pPr>
    </w:p>
    <w:p>
      <w:pPr>
        <w:tabs>
          <w:tab w:val="left" w:pos="-720"/>
        </w:tabs>
        <w:suppressAutoHyphens/>
        <w:spacing w:after="0" w:line="240" w:lineRule="auto"/>
        <w:ind w:left="360"/>
        <w:jc w:val="both"/>
        <w:rPr>
          <w:rFonts w:ascii="Arial" w:hAnsi="Arial" w:eastAsia="Times New Roman" w:cs="Arial"/>
          <w:i/>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numPr>
          <w:ilvl w:val="0"/>
          <w:numId w:val="4"/>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zCs w:val="20"/>
          <w:lang w:eastAsia="hi-IN" w:bidi="hi-IN"/>
        </w:rPr>
      </w:pPr>
    </w:p>
    <w:p>
      <w:pPr>
        <w:numPr>
          <w:ilvl w:val="0"/>
          <w:numId w:val="4"/>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317"/>
        </w:tabs>
        <w:suppressAutoHyphens/>
        <w:spacing w:after="0" w:line="240" w:lineRule="auto"/>
        <w:ind w:right="45"/>
        <w:jc w:val="both"/>
        <w:rPr>
          <w:rFonts w:ascii="Arial" w:hAnsi="Arial" w:eastAsia="Times New Roman" w:cs="Arial"/>
          <w:spacing w:val="-3"/>
          <w:sz w:val="20"/>
          <w:lang w:val="es-ES" w:eastAsia="hi-IN" w:bidi="hi-IN"/>
        </w:rPr>
      </w:pPr>
    </w:p>
    <w:p>
      <w:pPr>
        <w:tabs>
          <w:tab w:val="left" w:pos="851"/>
        </w:tabs>
        <w:suppressAutoHyphens/>
        <w:spacing w:after="0" w:line="240" w:lineRule="auto"/>
        <w:ind w:right="45"/>
        <w:rPr>
          <w:rFonts w:ascii="Arial" w:hAnsi="Arial" w:eastAsia="Calibri" w:cs="Arial"/>
          <w:b/>
          <w:i/>
          <w:sz w:val="20"/>
          <w:lang w:eastAsia="ar-SA" w:bidi="hi-IN"/>
        </w:rPr>
      </w:pPr>
    </w:p>
    <w:p>
      <w:pPr>
        <w:tabs>
          <w:tab w:val="left" w:pos="851"/>
        </w:tabs>
        <w:suppressAutoHyphens/>
        <w:spacing w:after="0" w:line="240" w:lineRule="auto"/>
        <w:ind w:right="45"/>
        <w:rPr>
          <w:rFonts w:ascii="Arial" w:hAnsi="Arial" w:eastAsia="Calibri" w:cs="Arial"/>
          <w:b/>
          <w:i/>
          <w:sz w:val="20"/>
          <w:lang w:eastAsia="ar-SA" w:bidi="hi-IN"/>
        </w:rPr>
      </w:pPr>
      <w:r>
        <w:rPr>
          <w:rFonts w:ascii="Arial" w:hAnsi="Arial" w:eastAsia="Calibri" w:cs="Arial"/>
          <w:b/>
          <w:i/>
          <w:sz w:val="20"/>
          <w:lang w:eastAsia="ar-SA" w:bidi="hi-IN"/>
        </w:rPr>
        <w:t>4.1.4.2</w:t>
      </w:r>
      <w:r>
        <w:rPr>
          <w:rFonts w:ascii="Arial" w:hAnsi="Arial" w:eastAsia="Calibri" w:cs="Arial"/>
          <w:b/>
          <w:i/>
          <w:sz w:val="20"/>
          <w:lang w:eastAsia="ar-SA" w:bidi="hi-IN"/>
        </w:rPr>
        <w:tab/>
      </w:r>
      <w:r>
        <w:rPr>
          <w:rFonts w:ascii="Arial" w:hAnsi="Arial" w:eastAsia="Calibri" w:cs="Arial"/>
          <w:b/>
          <w:i/>
          <w:sz w:val="20"/>
          <w:lang w:eastAsia="ar-SA" w:bidi="hi-IN"/>
        </w:rPr>
        <w:t xml:space="preserve">Residentes de Obra </w:t>
      </w:r>
      <w:r>
        <w:rPr>
          <w:rFonts w:ascii="Arial" w:hAnsi="Arial" w:eastAsia="Times New Roman" w:cs="Arial"/>
          <w:b/>
          <w:i/>
          <w:spacing w:val="-3"/>
          <w:sz w:val="20"/>
          <w:lang w:eastAsia="hi-IN" w:bidi="hi-IN"/>
        </w:rPr>
        <w:t>(Uno de ellos puede ser el Oferente)</w:t>
      </w:r>
    </w:p>
    <w:p>
      <w:pPr>
        <w:tabs>
          <w:tab w:val="left" w:pos="1135"/>
        </w:tabs>
        <w:suppressAutoHyphens/>
        <w:autoSpaceDN w:val="0"/>
        <w:spacing w:after="0" w:line="240" w:lineRule="auto"/>
        <w:ind w:left="425" w:right="45" w:hanging="425"/>
        <w:jc w:val="both"/>
        <w:textAlignment w:val="baseline"/>
        <w:rPr>
          <w:rFonts w:ascii="Arial" w:hAnsi="Arial" w:eastAsia="Times New Roman" w:cs="Arial"/>
          <w:b/>
          <w:kern w:val="3"/>
          <w:sz w:val="20"/>
          <w:u w:val="single"/>
          <w:lang w:eastAsia="ar-SA"/>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Deberán disponer de título de tercer nivel en Ingeniería Civil registrado en el Senescyt; y, demostrar experiencia dentro de los últimos 10 años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que sumen mínimo el 40% del presupuesto referencial del presente proceso, en un máximo de 3 obras similares. </w:t>
      </w:r>
      <w:r>
        <w:rPr>
          <w:rFonts w:ascii="Arial" w:hAnsi="Arial" w:eastAsia="Arial Unicode MS" w:cs="Arial"/>
          <w:bCs/>
          <w:sz w:val="20"/>
          <w:lang w:val="es-ES" w:eastAsia="ar-SA"/>
        </w:rPr>
        <w:t xml:space="preserve">Entendiéndose como obra similar: Pavimento Flexible (Carpeta asfáltica en vías). </w:t>
      </w:r>
      <w:r>
        <w:rPr>
          <w:rFonts w:ascii="Arial" w:hAnsi="Arial" w:eastAsia="Times New Roman" w:cs="Arial"/>
          <w:spacing w:val="-3"/>
          <w:sz w:val="20"/>
          <w:lang w:val="es-ES" w:eastAsia="hi-IN" w:bidi="hi-IN"/>
        </w:rPr>
        <w:t>La experiencia se acreditará únicamente en obras concluidas.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 los Residentes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5"/>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6"/>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Superintendente, Supervisor, Residente de obra y/o de Fiscalización, Jefe o Director Técnico </w:t>
      </w:r>
      <w:r>
        <w:rPr>
          <w:rFonts w:ascii="Arial" w:hAnsi="Arial" w:eastAsia="Times New Roman" w:cs="Arial"/>
          <w:spacing w:val="-3"/>
          <w:sz w:val="20"/>
          <w:lang w:val="es-ES" w:eastAsia="hi-IN" w:bidi="hi-IN"/>
        </w:rPr>
        <w:t xml:space="preserve">de </w:t>
      </w:r>
      <w:r>
        <w:rPr>
          <w:rFonts w:ascii="Arial" w:hAnsi="Arial" w:eastAsia="Times New Roman" w:cs="Arial"/>
          <w:b/>
          <w:spacing w:val="-3"/>
          <w:sz w:val="20"/>
          <w:lang w:val="es-ES" w:eastAsia="hi-IN" w:bidi="hi-IN"/>
        </w:rPr>
        <w:t>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eastAsia="Times New Roman" w:cs="Arial"/>
          <w:i/>
          <w:spacing w:val="-3"/>
          <w:sz w:val="20"/>
          <w:lang w:val="es-ES" w:eastAsia="hi-IN" w:bidi="hi-IN"/>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Arial" w:hAnsi="Arial" w:eastAsia="Times New Roman" w:cs="Arial"/>
          <w:szCs w:val="20"/>
          <w:lang w:eastAsia="hi-IN" w:bidi="hi-IN"/>
        </w:rPr>
      </w:pPr>
    </w:p>
    <w:p>
      <w:pPr>
        <w:numPr>
          <w:ilvl w:val="0"/>
          <w:numId w:val="6"/>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En caso de que el Oferente, pretenda actuar ya sea como Superintendente o Residente de Obra deberá cumplir con lo exigido para cada uno de los cargos.</w:t>
      </w:r>
    </w:p>
    <w:p>
      <w:pPr>
        <w:tabs>
          <w:tab w:val="left" w:pos="-720"/>
        </w:tabs>
        <w:suppressAutoHyphens/>
        <w:spacing w:after="0" w:line="240" w:lineRule="auto"/>
        <w:jc w:val="both"/>
        <w:rPr>
          <w:rFonts w:ascii="Arial" w:hAnsi="Arial" w:eastAsia="Times New Roman" w:cs="Arial"/>
          <w:szCs w:val="20"/>
          <w:lang w:val="es-ES" w:eastAsia="hi-IN"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p>
    <w:p>
      <w:pPr>
        <w:tabs>
          <w:tab w:val="left" w:pos="-720"/>
          <w:tab w:val="left" w:pos="851"/>
        </w:tabs>
        <w:suppressAutoHyphens/>
        <w:spacing w:after="0" w:line="240" w:lineRule="auto"/>
        <w:ind w:right="45"/>
        <w:jc w:val="both"/>
        <w:rPr>
          <w:rFonts w:ascii="Arial" w:hAnsi="Arial" w:eastAsia="Calibri" w:cs="Arial"/>
          <w:b/>
          <w:i/>
          <w:sz w:val="20"/>
          <w:lang w:eastAsia="ar-SA" w:bidi="hi-IN"/>
        </w:rPr>
      </w:pPr>
      <w:r>
        <w:rPr>
          <w:rFonts w:ascii="Arial" w:hAnsi="Arial" w:eastAsia="Calibri" w:cs="Arial"/>
          <w:b/>
          <w:i/>
          <w:sz w:val="20"/>
          <w:lang w:eastAsia="ar-SA" w:bidi="hi-IN"/>
        </w:rPr>
        <w:t>4.1.4.</w:t>
      </w:r>
      <w:r>
        <w:rPr>
          <w:rFonts w:ascii="Arial" w:hAnsi="Arial" w:eastAsia="Calibri" w:cs="Arial"/>
          <w:b/>
          <w:i/>
          <w:sz w:val="20"/>
          <w:lang w:eastAsia="ar-SA"/>
        </w:rPr>
        <w:t>3</w:t>
      </w:r>
      <w:r>
        <w:rPr>
          <w:rFonts w:ascii="Arial" w:hAnsi="Arial" w:eastAsia="Calibri" w:cs="Arial"/>
          <w:b/>
          <w:i/>
          <w:sz w:val="20"/>
          <w:lang w:eastAsia="ar-SA" w:bidi="hi-IN"/>
        </w:rPr>
        <w:tab/>
      </w:r>
      <w:r>
        <w:rPr>
          <w:rFonts w:ascii="Arial" w:hAnsi="Arial" w:eastAsia="Calibri" w:cs="Arial"/>
          <w:b/>
          <w:i/>
          <w:sz w:val="20"/>
          <w:lang w:eastAsia="ar-SA"/>
        </w:rPr>
        <w:t>Especialista Ambiental</w:t>
      </w:r>
    </w:p>
    <w:p>
      <w:pPr>
        <w:widowControl w:val="0"/>
        <w:suppressAutoHyphens/>
        <w:overflowPunct w:val="0"/>
        <w:autoSpaceDE w:val="0"/>
        <w:spacing w:after="0" w:line="240" w:lineRule="auto"/>
        <w:ind w:left="284" w:right="45"/>
        <w:jc w:val="both"/>
        <w:textAlignment w:val="baseline"/>
        <w:rPr>
          <w:rFonts w:ascii="Arial" w:hAnsi="Arial" w:eastAsia="Arial Unicode MS" w:cs="Arial"/>
          <w:bCs/>
          <w:sz w:val="20"/>
          <w:lang w:val="es-ES" w:eastAsia="ar-SA"/>
        </w:rPr>
      </w:pP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Deberá ser Ingeniero Ambiental u otra profesión afín que cuente con especialidad o cuarto nivel en temas ambientales, registrado en el Senescyt y con licencia emitida por el Ministerio del Ambiente.</w:t>
      </w:r>
      <w:r>
        <w:rPr>
          <w:rFonts w:ascii="Arial" w:hAnsi="Arial" w:eastAsia="Arial Unicode MS" w:cs="Arial"/>
          <w:bCs/>
          <w:sz w:val="20"/>
          <w:lang w:val="es-ES" w:eastAsia="ar-SA"/>
        </w:rPr>
        <w:t xml:space="preserve"> Para este proyecto el Especialista Ambiental deberá acreditar como experiencia haber realizado actividades de control y mitigación ambiental en los últimos 5 años en al menos una obra de vialidad, en la cual haya participado por un mínimo de tres meses</w:t>
      </w:r>
      <w:r>
        <w:rPr>
          <w:rFonts w:ascii="Arial" w:hAnsi="Arial" w:eastAsia="Times New Roman" w:cs="Arial"/>
          <w:spacing w:val="-3"/>
          <w:sz w:val="20"/>
          <w:lang w:val="es-ES" w:eastAsia="hi-IN" w:bidi="hi-IN"/>
        </w:rPr>
        <w:t>.</w:t>
      </w:r>
    </w:p>
    <w:p>
      <w:pPr>
        <w:widowControl w:val="0"/>
        <w:suppressAutoHyphens/>
        <w:overflowPunct w:val="0"/>
        <w:autoSpaceDE w:val="0"/>
        <w:spacing w:after="0" w:line="240" w:lineRule="auto"/>
        <w:ind w:right="45"/>
        <w:jc w:val="both"/>
        <w:textAlignment w:val="baseline"/>
        <w:rPr>
          <w:rFonts w:ascii="Arial" w:hAnsi="Arial" w:eastAsia="Times New Roman" w:cs="Arial"/>
          <w:spacing w:val="-3"/>
          <w:sz w:val="20"/>
          <w:lang w:val="es-ES"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 En caso de presentar actas de recepción, éstas deberán ser definitivas; solo en el caso de que no se cumpla el tiempo previsto para la obtención de estos documentos (6 meses), se aceptará Actas de Entrega - Recepción Provisional.</w:t>
      </w: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bCs/>
          <w:spacing w:val="-3"/>
          <w:sz w:val="20"/>
          <w:lang w:val="es-ES" w:eastAsia="hi-IN" w:bidi="hi-IN"/>
        </w:rPr>
        <w:t xml:space="preserve">4.1.5 Patrimonio </w:t>
      </w:r>
      <w:r>
        <w:rPr>
          <w:rFonts w:ascii="Arial" w:hAnsi="Arial" w:eastAsia="Times New Roman" w:cs="Arial"/>
          <w:spacing w:val="-3"/>
          <w:sz w:val="20"/>
          <w:lang w:val="es-ES" w:eastAsia="hi-IN" w:bidi="hi-IN"/>
        </w:rPr>
        <w:t>(Aplicable a personas jurídicas)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En caso de personas jurídicas, la Entidad Contratante verificará que el patrimonio del Oferente sea igual o superior a la siguiente relación con respecto del presupuesto referencial del procedimiento de contratación conforme las regulaciones expedidas por el SERCOP.</w:t>
      </w:r>
    </w:p>
    <w:p>
      <w:pPr>
        <w:tabs>
          <w:tab w:val="left" w:pos="2227"/>
        </w:tabs>
        <w:suppressAutoHyphens/>
        <w:spacing w:after="0" w:line="240" w:lineRule="auto"/>
        <w:jc w:val="both"/>
        <w:rPr>
          <w:rFonts w:ascii="Arial" w:hAnsi="Arial" w:eastAsia="Times New Roman" w:cs="Arial"/>
          <w:sz w:val="20"/>
          <w:lang w:val="es-ES" w:eastAsia="hi-IN" w:bidi="hi-IN"/>
        </w:rPr>
      </w:pPr>
    </w:p>
    <w:p>
      <w:pPr>
        <w:spacing w:before="6" w:line="20" w:lineRule="exact"/>
        <w:ind w:right="28"/>
        <w:rPr>
          <w:rFonts w:ascii="Arial" w:hAnsi="Arial" w:cs="Arial"/>
        </w:rPr>
      </w:pPr>
    </w:p>
    <w:tbl>
      <w:tblPr>
        <w:tblStyle w:val="46"/>
        <w:tblW w:w="9092" w:type="dxa"/>
        <w:tblInd w:w="9" w:type="dxa"/>
        <w:tblLayout w:type="fixed"/>
        <w:tblCellMar>
          <w:top w:w="0" w:type="dxa"/>
          <w:left w:w="0" w:type="dxa"/>
          <w:bottom w:w="0" w:type="dxa"/>
          <w:right w:w="0" w:type="dxa"/>
        </w:tblCellMar>
      </w:tblPr>
      <w:tblGrid>
        <w:gridCol w:w="1958"/>
        <w:gridCol w:w="1445"/>
        <w:gridCol w:w="2299"/>
        <w:gridCol w:w="3390"/>
      </w:tblGrid>
      <w:tr>
        <w:tblPrEx>
          <w:tblLayout w:type="fixed"/>
          <w:tblCellMar>
            <w:top w:w="0" w:type="dxa"/>
            <w:left w:w="0" w:type="dxa"/>
            <w:bottom w:w="0" w:type="dxa"/>
            <w:right w:w="0" w:type="dxa"/>
          </w:tblCellMar>
        </w:tblPrEx>
        <w:trPr>
          <w:trHeight w:val="965" w:hRule="exact"/>
        </w:trPr>
        <w:tc>
          <w:tcPr>
            <w:tcW w:w="3403"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left="168"/>
              <w:rPr>
                <w:rFonts w:ascii="Arial" w:hAnsi="Arial" w:cs="Arial"/>
                <w:b/>
                <w:bCs/>
                <w:lang w:val="es-ES" w:eastAsia="es-ES"/>
              </w:rPr>
            </w:pPr>
            <w:r>
              <w:rPr>
                <w:rFonts w:ascii="Arial" w:hAnsi="Arial" w:cs="Arial"/>
                <w:b/>
                <w:bCs/>
                <w:lang w:val="es-ES" w:eastAsia="es-ES"/>
              </w:rPr>
              <w:t>Presupuesto Referencial</w:t>
            </w:r>
          </w:p>
        </w:tc>
        <w:tc>
          <w:tcPr>
            <w:tcW w:w="5689" w:type="dxa"/>
            <w:gridSpan w:val="2"/>
            <w:tcBorders>
              <w:top w:val="single" w:color="auto" w:sz="6" w:space="0"/>
              <w:left w:val="single" w:color="auto" w:sz="6" w:space="0"/>
              <w:bottom w:val="single" w:color="auto" w:sz="6" w:space="0"/>
              <w:right w:val="single" w:color="auto" w:sz="6" w:space="0"/>
            </w:tcBorders>
            <w:vAlign w:val="center"/>
          </w:tcPr>
          <w:p>
            <w:pPr>
              <w:spacing w:before="316" w:after="348" w:line="291" w:lineRule="exact"/>
              <w:ind w:right="717"/>
              <w:jc w:val="right"/>
              <w:rPr>
                <w:rFonts w:ascii="Arial" w:hAnsi="Arial" w:cs="Arial"/>
                <w:b/>
                <w:bCs/>
                <w:lang w:val="es-ES" w:eastAsia="es-ES"/>
              </w:rPr>
            </w:pPr>
            <w:r>
              <w:rPr>
                <w:rFonts w:ascii="Arial" w:hAnsi="Arial" w:cs="Arial"/>
                <w:b/>
                <w:bCs/>
                <w:lang w:val="es-ES" w:eastAsia="es-ES"/>
              </w:rPr>
              <w:t>Monto que debe cumplirse de Patrimonio USD</w:t>
            </w:r>
          </w:p>
        </w:tc>
      </w:tr>
      <w:tr>
        <w:tblPrEx>
          <w:tblLayout w:type="fixed"/>
          <w:tblCellMar>
            <w:top w:w="0" w:type="dxa"/>
            <w:left w:w="0" w:type="dxa"/>
            <w:bottom w:w="0" w:type="dxa"/>
            <w:right w:w="0" w:type="dxa"/>
          </w:tblCellMar>
        </w:tblPrEx>
        <w:trPr>
          <w:trHeight w:val="969" w:hRule="exact"/>
        </w:trPr>
        <w:tc>
          <w:tcPr>
            <w:tcW w:w="1958" w:type="dxa"/>
            <w:tcBorders>
              <w:top w:val="single" w:color="auto" w:sz="6" w:space="0"/>
              <w:left w:val="single" w:color="auto" w:sz="6" w:space="0"/>
              <w:bottom w:val="single" w:color="auto" w:sz="6" w:space="0"/>
              <w:right w:val="single" w:color="auto" w:sz="6" w:space="0"/>
            </w:tcBorders>
          </w:tcPr>
          <w:p>
            <w:pPr>
              <w:spacing w:after="669" w:line="286" w:lineRule="exact"/>
              <w:ind w:left="168"/>
              <w:rPr>
                <w:rFonts w:ascii="Arial" w:hAnsi="Arial" w:cs="Arial"/>
                <w:b/>
                <w:bCs/>
                <w:lang w:val="es-ES" w:eastAsia="es-ES"/>
              </w:rPr>
            </w:pPr>
            <w:r>
              <w:rPr>
                <w:rFonts w:ascii="Arial" w:hAnsi="Arial" w:cs="Arial"/>
                <w:b/>
                <w:bCs/>
                <w:lang w:val="es-ES" w:eastAsia="es-ES"/>
              </w:rPr>
              <w:t>Fracción Básica</w:t>
            </w:r>
          </w:p>
        </w:tc>
        <w:tc>
          <w:tcPr>
            <w:tcW w:w="1445" w:type="dxa"/>
            <w:tcBorders>
              <w:top w:val="single" w:color="auto" w:sz="6" w:space="0"/>
              <w:left w:val="single" w:color="auto" w:sz="6" w:space="0"/>
              <w:bottom w:val="single" w:color="auto" w:sz="6" w:space="0"/>
              <w:right w:val="single" w:color="auto" w:sz="6" w:space="0"/>
            </w:tcBorders>
          </w:tcPr>
          <w:p>
            <w:pPr>
              <w:spacing w:after="669" w:line="286" w:lineRule="exact"/>
              <w:jc w:val="center"/>
              <w:rPr>
                <w:rFonts w:ascii="Arial" w:hAnsi="Arial" w:cs="Arial"/>
                <w:b/>
                <w:bCs/>
                <w:lang w:val="es-ES" w:eastAsia="es-ES"/>
              </w:rPr>
            </w:pPr>
            <w:r>
              <w:rPr>
                <w:rFonts w:ascii="Arial" w:hAnsi="Arial" w:cs="Arial"/>
                <w:b/>
                <w:bCs/>
                <w:lang w:val="es-ES" w:eastAsia="es-ES"/>
              </w:rPr>
              <w:t>Exceso hasta</w:t>
            </w:r>
          </w:p>
        </w:tc>
        <w:tc>
          <w:tcPr>
            <w:tcW w:w="2299" w:type="dxa"/>
            <w:tcBorders>
              <w:top w:val="single" w:color="auto" w:sz="6" w:space="0"/>
              <w:left w:val="single" w:color="auto" w:sz="6" w:space="0"/>
              <w:bottom w:val="single" w:color="auto" w:sz="6" w:space="0"/>
              <w:right w:val="single" w:color="auto" w:sz="6" w:space="0"/>
            </w:tcBorders>
          </w:tcPr>
          <w:p>
            <w:pPr>
              <w:spacing w:after="31" w:line="308" w:lineRule="exact"/>
              <w:jc w:val="center"/>
              <w:rPr>
                <w:rFonts w:ascii="Arial" w:hAnsi="Arial" w:cs="Arial"/>
                <w:b/>
                <w:bCs/>
                <w:lang w:val="es-ES" w:eastAsia="es-ES"/>
              </w:rPr>
            </w:pPr>
            <w:r>
              <w:rPr>
                <w:rFonts w:ascii="Arial" w:hAnsi="Arial" w:cs="Arial"/>
                <w:b/>
                <w:bCs/>
                <w:lang w:val="es-ES" w:eastAsia="es-ES"/>
              </w:rPr>
              <w:t>Patrimonio exigido</w:t>
            </w:r>
            <w:r>
              <w:rPr>
                <w:rFonts w:ascii="Arial" w:hAnsi="Arial" w:cs="Arial"/>
                <w:b/>
                <w:bCs/>
                <w:lang w:val="es-ES" w:eastAsia="es-ES"/>
              </w:rPr>
              <w:br w:type="textWrapping"/>
            </w:r>
            <w:r>
              <w:rPr>
                <w:rFonts w:ascii="Arial" w:hAnsi="Arial" w:cs="Arial"/>
                <w:b/>
                <w:bCs/>
                <w:lang w:val="es-ES" w:eastAsia="es-ES"/>
              </w:rPr>
              <w:t>sobre la fracción</w:t>
            </w:r>
            <w:r>
              <w:rPr>
                <w:rFonts w:ascii="Arial" w:hAnsi="Arial" w:cs="Arial"/>
                <w:b/>
                <w:bCs/>
                <w:lang w:val="es-ES" w:eastAsia="es-ES"/>
              </w:rPr>
              <w:br w:type="textWrapping"/>
            </w:r>
            <w:r>
              <w:rPr>
                <w:rFonts w:ascii="Arial" w:hAnsi="Arial" w:cs="Arial"/>
                <w:b/>
                <w:bCs/>
                <w:lang w:val="es-ES" w:eastAsia="es-ES"/>
              </w:rPr>
              <w:t>básica</w:t>
            </w:r>
          </w:p>
        </w:tc>
        <w:tc>
          <w:tcPr>
            <w:tcW w:w="3390" w:type="dxa"/>
            <w:tcBorders>
              <w:top w:val="single" w:color="auto" w:sz="6" w:space="0"/>
              <w:left w:val="single" w:color="auto" w:sz="6" w:space="0"/>
              <w:bottom w:val="single" w:color="auto" w:sz="6" w:space="0"/>
              <w:right w:val="single" w:color="auto" w:sz="6" w:space="0"/>
            </w:tcBorders>
          </w:tcPr>
          <w:p>
            <w:pPr>
              <w:spacing w:after="348" w:line="303" w:lineRule="exact"/>
              <w:jc w:val="center"/>
              <w:rPr>
                <w:rFonts w:ascii="Arial" w:hAnsi="Arial" w:cs="Arial"/>
                <w:b/>
                <w:bCs/>
                <w:lang w:val="es-ES" w:eastAsia="es-ES"/>
              </w:rPr>
            </w:pPr>
            <w:r>
              <w:rPr>
                <w:rFonts w:ascii="Arial" w:hAnsi="Arial" w:cs="Arial"/>
                <w:b/>
                <w:bCs/>
                <w:lang w:val="es-ES" w:eastAsia="es-ES"/>
              </w:rPr>
              <w:t>Patrimonio exigido sobre el</w:t>
            </w:r>
            <w:r>
              <w:rPr>
                <w:rFonts w:ascii="Arial" w:hAnsi="Arial" w:cs="Arial"/>
                <w:b/>
                <w:bCs/>
                <w:lang w:val="es-ES" w:eastAsia="es-ES"/>
              </w:rPr>
              <w:br w:type="textWrapping"/>
            </w:r>
            <w:r>
              <w:rPr>
                <w:rFonts w:ascii="Arial" w:hAnsi="Arial" w:cs="Arial"/>
                <w:b/>
                <w:bCs/>
                <w:lang w:val="es-ES" w:eastAsia="es-ES"/>
              </w:rPr>
              <w:t>excedente de la fracción básica</w:t>
            </w:r>
          </w:p>
        </w:tc>
      </w:tr>
      <w:tr>
        <w:tblPrEx>
          <w:tblLayout w:type="fixed"/>
          <w:tblCellMar>
            <w:top w:w="0" w:type="dxa"/>
            <w:left w:w="0" w:type="dxa"/>
            <w:bottom w:w="0" w:type="dxa"/>
            <w:right w:w="0" w:type="dxa"/>
          </w:tblCellMar>
        </w:tblPrEx>
        <w:trPr>
          <w:trHeight w:val="336" w:hRule="exact"/>
        </w:trPr>
        <w:tc>
          <w:tcPr>
            <w:tcW w:w="1958" w:type="dxa"/>
            <w:tcBorders>
              <w:top w:val="single" w:color="auto" w:sz="6" w:space="0"/>
              <w:left w:val="single" w:color="auto" w:sz="6" w:space="0"/>
              <w:bottom w:val="single" w:color="auto" w:sz="6" w:space="0"/>
              <w:right w:val="single" w:color="auto" w:sz="6" w:space="0"/>
            </w:tcBorders>
          </w:tcPr>
          <w:p>
            <w:pPr>
              <w:rPr>
                <w:rFonts w:ascii="Arial" w:hAnsi="Arial" w:cs="Arial"/>
                <w:lang w:eastAsia="en-US"/>
              </w:rPr>
            </w:pPr>
          </w:p>
        </w:tc>
        <w:tc>
          <w:tcPr>
            <w:tcW w:w="7134" w:type="dxa"/>
            <w:gridSpan w:val="3"/>
            <w:tcBorders>
              <w:top w:val="single" w:color="auto" w:sz="6" w:space="0"/>
              <w:left w:val="single" w:color="auto" w:sz="6" w:space="0"/>
              <w:bottom w:val="single" w:color="auto" w:sz="6" w:space="0"/>
              <w:right w:val="single" w:color="auto" w:sz="6" w:space="0"/>
            </w:tcBorders>
            <w:vAlign w:val="center"/>
          </w:tcPr>
          <w:p>
            <w:pPr>
              <w:spacing w:after="31" w:line="291" w:lineRule="exact"/>
              <w:jc w:val="center"/>
              <w:rPr>
                <w:rFonts w:ascii="Arial" w:hAnsi="Arial" w:cs="Arial"/>
                <w:b/>
                <w:bCs/>
                <w:lang w:val="es-ES" w:eastAsia="es-ES"/>
              </w:rPr>
            </w:pPr>
            <w:r>
              <w:rPr>
                <w:rFonts w:ascii="Arial" w:hAnsi="Arial" w:cs="Arial"/>
                <w:b/>
                <w:bCs/>
                <w:lang w:val="es-ES" w:eastAsia="es-ES"/>
              </w:rPr>
              <w:t>CONSTRUCCIÓN DE OBRAS</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Arial" w:hAnsi="Arial" w:cs="Arial"/>
                <w:lang w:val="es-ES" w:eastAsia="es-ES"/>
              </w:rPr>
            </w:pPr>
            <w:r>
              <w:rPr>
                <w:rFonts w:ascii="Arial" w:hAnsi="Arial" w:cs="Arial"/>
                <w:lang w:val="es-ES" w:eastAsia="es-ES"/>
              </w:rPr>
              <w:t>0</w:t>
            </w:r>
          </w:p>
        </w:tc>
        <w:tc>
          <w:tcPr>
            <w:tcW w:w="1445" w:type="dxa"/>
            <w:tcBorders>
              <w:top w:val="single" w:color="auto" w:sz="6" w:space="0"/>
              <w:left w:val="single" w:color="auto" w:sz="6" w:space="0"/>
              <w:bottom w:val="single" w:color="auto" w:sz="6" w:space="0"/>
              <w:right w:val="single" w:color="auto" w:sz="6" w:space="0"/>
            </w:tcBorders>
          </w:tcPr>
          <w:p>
            <w:pPr>
              <w:spacing w:after="54" w:line="297" w:lineRule="exact"/>
              <w:jc w:val="center"/>
              <w:rPr>
                <w:rFonts w:ascii="Arial" w:hAnsi="Arial" w:cs="Arial"/>
                <w:lang w:val="es-ES" w:eastAsia="es-ES"/>
              </w:rPr>
            </w:pPr>
            <w:r>
              <w:rPr>
                <w:rFonts w:ascii="Arial" w:hAnsi="Arial" w:cs="Arial"/>
                <w:lang w:val="es-ES" w:eastAsia="es-ES"/>
              </w:rPr>
              <w:t>200.000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0" w:line="273" w:lineRule="exact"/>
              <w:jc w:val="center"/>
              <w:rPr>
                <w:rFonts w:ascii="Arial" w:hAnsi="Arial" w:cs="Arial"/>
                <w:spacing w:val="-3"/>
                <w:lang w:val="es-ES" w:eastAsia="es-ES"/>
              </w:rPr>
            </w:pPr>
            <w:r>
              <w:rPr>
                <w:rFonts w:ascii="Arial" w:hAnsi="Arial" w:cs="Arial"/>
                <w:spacing w:val="-3"/>
                <w:lang w:val="es-ES" w:eastAsia="es-ES"/>
              </w:rPr>
              <w:t>NO APLICA</w:t>
            </w:r>
          </w:p>
        </w:tc>
        <w:tc>
          <w:tcPr>
            <w:tcW w:w="3390" w:type="dxa"/>
            <w:tcBorders>
              <w:top w:val="single" w:color="auto" w:sz="6" w:space="0"/>
              <w:left w:val="single" w:color="auto" w:sz="6" w:space="0"/>
              <w:bottom w:val="single" w:color="auto" w:sz="6" w:space="0"/>
              <w:right w:val="single" w:color="auto" w:sz="6" w:space="0"/>
            </w:tcBorders>
          </w:tcPr>
          <w:p>
            <w:pPr>
              <w:rPr>
                <w:rFonts w:ascii="Arial" w:hAnsi="Arial" w:cs="Arial"/>
                <w:lang w:eastAsia="en-US"/>
              </w:rPr>
            </w:pPr>
          </w:p>
        </w:tc>
      </w:tr>
      <w:tr>
        <w:tblPrEx>
          <w:tblLayout w:type="fixed"/>
          <w:tblCellMar>
            <w:top w:w="0" w:type="dxa"/>
            <w:left w:w="0" w:type="dxa"/>
            <w:bottom w:w="0" w:type="dxa"/>
            <w:right w:w="0" w:type="dxa"/>
          </w:tblCellMar>
        </w:tblPrEx>
        <w:trPr>
          <w:trHeight w:val="652" w:hRule="exact"/>
        </w:trPr>
        <w:tc>
          <w:tcPr>
            <w:tcW w:w="1958" w:type="dxa"/>
            <w:tcBorders>
              <w:top w:val="single" w:color="auto" w:sz="6" w:space="0"/>
              <w:left w:val="single" w:color="auto" w:sz="6" w:space="0"/>
              <w:bottom w:val="single" w:color="auto" w:sz="6" w:space="0"/>
              <w:right w:val="single" w:color="auto" w:sz="6" w:space="0"/>
            </w:tcBorders>
          </w:tcPr>
          <w:p>
            <w:pPr>
              <w:spacing w:after="366" w:line="272" w:lineRule="exact"/>
              <w:jc w:val="center"/>
              <w:rPr>
                <w:rFonts w:ascii="Arial" w:hAnsi="Arial" w:cs="Arial"/>
                <w:spacing w:val="-3"/>
                <w:lang w:val="es-ES" w:eastAsia="es-ES"/>
              </w:rPr>
            </w:pPr>
            <w:r>
              <w:rPr>
                <w:rFonts w:ascii="Arial" w:hAnsi="Arial" w:cs="Arial"/>
                <w:spacing w:val="-3"/>
                <w:lang w:val="es-ES" w:eastAsia="es-ES"/>
              </w:rPr>
              <w:t>200.000,01</w:t>
            </w:r>
          </w:p>
        </w:tc>
        <w:tc>
          <w:tcPr>
            <w:tcW w:w="1445"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Arial" w:hAnsi="Arial" w:cs="Arial"/>
                <w:lang w:val="es-ES" w:eastAsia="es-ES"/>
              </w:rPr>
            </w:pPr>
            <w:r>
              <w:rPr>
                <w:rFonts w:ascii="Arial" w:hAnsi="Arial" w:cs="Arial"/>
                <w:lang w:val="es-ES" w:eastAsia="es-ES"/>
              </w:rPr>
              <w:t>500.000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6" w:line="272" w:lineRule="exact"/>
              <w:ind w:right="807"/>
              <w:jc w:val="right"/>
              <w:rPr>
                <w:rFonts w:ascii="Arial" w:hAnsi="Arial" w:cs="Arial"/>
                <w:spacing w:val="-1"/>
                <w:lang w:val="es-ES" w:eastAsia="es-ES"/>
              </w:rPr>
            </w:pPr>
            <w:r>
              <w:rPr>
                <w:rFonts w:ascii="Arial" w:hAnsi="Arial" w:cs="Arial"/>
                <w:spacing w:val="-1"/>
                <w:lang w:val="es-ES" w:eastAsia="es-ES"/>
              </w:rPr>
              <w:t>3.000</w:t>
            </w:r>
          </w:p>
        </w:tc>
        <w:tc>
          <w:tcPr>
            <w:tcW w:w="3390" w:type="dxa"/>
            <w:tcBorders>
              <w:top w:val="single" w:color="auto" w:sz="6" w:space="0"/>
              <w:left w:val="single" w:color="auto" w:sz="6" w:space="0"/>
              <w:bottom w:val="single" w:color="auto" w:sz="6" w:space="0"/>
              <w:right w:val="single" w:color="auto" w:sz="6" w:space="0"/>
            </w:tcBorders>
          </w:tcPr>
          <w:p>
            <w:pPr>
              <w:spacing w:after="49" w:line="294" w:lineRule="exact"/>
              <w:jc w:val="center"/>
              <w:rPr>
                <w:rFonts w:ascii="Arial" w:hAnsi="Arial" w:cs="Arial"/>
                <w:lang w:val="es-ES" w:eastAsia="es-ES"/>
              </w:rPr>
            </w:pPr>
            <w:r>
              <w:rPr>
                <w:rFonts w:ascii="Arial" w:hAnsi="Arial" w:cs="Arial"/>
                <w:lang w:val="es-ES" w:eastAsia="es-ES"/>
              </w:rPr>
              <w:t>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8"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Arial" w:hAnsi="Arial" w:cs="Arial"/>
                <w:spacing w:val="-3"/>
                <w:lang w:val="es-ES" w:eastAsia="es-ES"/>
              </w:rPr>
            </w:pPr>
            <w:r>
              <w:rPr>
                <w:rFonts w:ascii="Arial" w:hAnsi="Arial" w:cs="Arial"/>
                <w:spacing w:val="-3"/>
                <w:lang w:val="es-ES" w:eastAsia="es-ES"/>
              </w:rPr>
              <w:t>500.000,01</w:t>
            </w:r>
          </w:p>
        </w:tc>
        <w:tc>
          <w:tcPr>
            <w:tcW w:w="1445"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Arial" w:hAnsi="Arial" w:cs="Arial"/>
                <w:lang w:val="es-ES" w:eastAsia="es-ES"/>
              </w:rPr>
            </w:pPr>
            <w:r>
              <w:rPr>
                <w:rFonts w:ascii="Arial" w:hAnsi="Arial" w:cs="Arial"/>
                <w:lang w:val="es-ES" w:eastAsia="es-ES"/>
              </w:rPr>
              <w:t>1´000.000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807"/>
              <w:jc w:val="right"/>
              <w:rPr>
                <w:rFonts w:ascii="Arial" w:hAnsi="Arial" w:cs="Arial"/>
                <w:spacing w:val="-2"/>
                <w:lang w:val="es-ES" w:eastAsia="es-ES"/>
              </w:rPr>
            </w:pPr>
            <w:r>
              <w:rPr>
                <w:rFonts w:ascii="Arial" w:hAnsi="Arial" w:cs="Arial"/>
                <w:spacing w:val="-2"/>
                <w:lang w:val="es-ES" w:eastAsia="es-ES"/>
              </w:rPr>
              <w:t>15.000</w:t>
            </w:r>
          </w:p>
        </w:tc>
        <w:tc>
          <w:tcPr>
            <w:tcW w:w="3390" w:type="dxa"/>
            <w:tcBorders>
              <w:top w:val="single" w:color="auto" w:sz="6" w:space="0"/>
              <w:left w:val="single" w:color="auto" w:sz="6" w:space="0"/>
              <w:bottom w:val="single" w:color="auto" w:sz="6" w:space="0"/>
              <w:right w:val="single" w:color="auto" w:sz="6" w:space="0"/>
            </w:tcBorders>
          </w:tcPr>
          <w:p>
            <w:pPr>
              <w:spacing w:after="58" w:line="295" w:lineRule="exact"/>
              <w:jc w:val="center"/>
              <w:rPr>
                <w:rFonts w:ascii="Arial" w:hAnsi="Arial" w:cs="Arial"/>
                <w:lang w:val="es-ES" w:eastAsia="es-ES"/>
              </w:rPr>
            </w:pPr>
            <w:r>
              <w:rPr>
                <w:rFonts w:ascii="Arial" w:hAnsi="Arial" w:cs="Arial"/>
                <w:lang w:val="es-ES" w:eastAsia="es-ES"/>
              </w:rPr>
              <w:t>10 %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65" w:line="273" w:lineRule="exact"/>
              <w:jc w:val="center"/>
              <w:rPr>
                <w:rFonts w:ascii="Arial" w:hAnsi="Arial" w:cs="Arial"/>
                <w:spacing w:val="-4"/>
                <w:lang w:val="es-ES" w:eastAsia="es-ES"/>
              </w:rPr>
            </w:pPr>
            <w:r>
              <w:rPr>
                <w:rFonts w:ascii="Arial" w:hAnsi="Arial" w:cs="Arial"/>
                <w:spacing w:val="-4"/>
                <w:lang w:val="es-ES" w:eastAsia="es-ES"/>
              </w:rPr>
              <w:t>1´000.000,01</w:t>
            </w:r>
          </w:p>
        </w:tc>
        <w:tc>
          <w:tcPr>
            <w:tcW w:w="1445"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Arial" w:hAnsi="Arial" w:cs="Arial"/>
                <w:lang w:val="es-ES" w:eastAsia="es-ES"/>
              </w:rPr>
            </w:pPr>
            <w:r>
              <w:rPr>
                <w:rFonts w:ascii="Arial" w:hAnsi="Arial" w:cs="Arial"/>
                <w:lang w:val="es-ES" w:eastAsia="es-ES"/>
              </w:rPr>
              <w:t>5´000.000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65" w:line="273" w:lineRule="exact"/>
              <w:ind w:right="807"/>
              <w:jc w:val="right"/>
              <w:rPr>
                <w:rFonts w:ascii="Arial" w:hAnsi="Arial" w:cs="Arial"/>
                <w:lang w:val="es-ES" w:eastAsia="es-ES"/>
              </w:rPr>
            </w:pPr>
            <w:r>
              <w:rPr>
                <w:rFonts w:ascii="Arial" w:hAnsi="Arial" w:cs="Arial"/>
                <w:lang w:val="es-ES" w:eastAsia="es-ES"/>
              </w:rPr>
              <w:t>75.000</w:t>
            </w:r>
          </w:p>
        </w:tc>
        <w:tc>
          <w:tcPr>
            <w:tcW w:w="3390" w:type="dxa"/>
            <w:tcBorders>
              <w:top w:val="single" w:color="auto" w:sz="6" w:space="0"/>
              <w:left w:val="single" w:color="auto" w:sz="6" w:space="0"/>
              <w:bottom w:val="single" w:color="auto" w:sz="6" w:space="0"/>
              <w:right w:val="single" w:color="auto" w:sz="6" w:space="0"/>
            </w:tcBorders>
          </w:tcPr>
          <w:p>
            <w:pPr>
              <w:spacing w:after="48" w:line="295" w:lineRule="exact"/>
              <w:jc w:val="center"/>
              <w:rPr>
                <w:rFonts w:ascii="Arial" w:hAnsi="Arial" w:cs="Arial"/>
                <w:lang w:val="es-ES" w:eastAsia="es-ES"/>
              </w:rPr>
            </w:pPr>
            <w:r>
              <w:rPr>
                <w:rFonts w:ascii="Arial" w:hAnsi="Arial" w:cs="Arial"/>
                <w:lang w:val="es-ES" w:eastAsia="es-ES"/>
              </w:rPr>
              <w:t>12,5%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53" w:hRule="exact"/>
        </w:trPr>
        <w:tc>
          <w:tcPr>
            <w:tcW w:w="1958" w:type="dxa"/>
            <w:tcBorders>
              <w:top w:val="single" w:color="auto" w:sz="6" w:space="0"/>
              <w:left w:val="single" w:color="auto" w:sz="6" w:space="0"/>
              <w:bottom w:val="single" w:color="auto" w:sz="6" w:space="0"/>
              <w:right w:val="single" w:color="auto" w:sz="6" w:space="0"/>
            </w:tcBorders>
          </w:tcPr>
          <w:p>
            <w:pPr>
              <w:spacing w:after="375" w:line="273" w:lineRule="exact"/>
              <w:jc w:val="center"/>
              <w:rPr>
                <w:rFonts w:ascii="Arial" w:hAnsi="Arial" w:cs="Arial"/>
                <w:spacing w:val="-3"/>
                <w:lang w:val="es-ES" w:eastAsia="es-ES"/>
              </w:rPr>
            </w:pPr>
            <w:r>
              <w:rPr>
                <w:rFonts w:ascii="Arial" w:hAnsi="Arial" w:cs="Arial"/>
                <w:spacing w:val="-3"/>
                <w:lang w:val="es-ES" w:eastAsia="es-ES"/>
              </w:rPr>
              <w:t>5´000.000,01</w:t>
            </w:r>
          </w:p>
        </w:tc>
        <w:tc>
          <w:tcPr>
            <w:tcW w:w="1445"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Arial" w:hAnsi="Arial" w:cs="Arial"/>
                <w:lang w:val="es-ES" w:eastAsia="es-ES"/>
              </w:rPr>
            </w:pPr>
            <w:r>
              <w:rPr>
                <w:rFonts w:ascii="Arial" w:hAnsi="Arial" w:cs="Arial"/>
                <w:lang w:val="es-ES" w:eastAsia="es-ES"/>
              </w:rPr>
              <w:t>10´000.000</w:t>
            </w:r>
            <w:r>
              <w:rPr>
                <w:rFonts w:ascii="Arial" w:hAnsi="Arial" w:cs="Arial"/>
                <w:lang w:val="es-ES" w:eastAsia="es-ES"/>
              </w:rPr>
              <w:br w:type="textWrapping"/>
            </w:r>
            <w:r>
              <w:rPr>
                <w:rFonts w:ascii="Arial" w:hAnsi="Arial" w:cs="Arial"/>
                <w:lang w:val="es-ES" w:eastAsia="es-ES"/>
              </w:rPr>
              <w:t>incluido</w:t>
            </w:r>
          </w:p>
        </w:tc>
        <w:tc>
          <w:tcPr>
            <w:tcW w:w="2299" w:type="dxa"/>
            <w:tcBorders>
              <w:top w:val="single" w:color="auto" w:sz="6" w:space="0"/>
              <w:left w:val="single" w:color="auto" w:sz="6" w:space="0"/>
              <w:bottom w:val="single" w:color="auto" w:sz="6" w:space="0"/>
              <w:right w:val="single" w:color="auto" w:sz="6" w:space="0"/>
            </w:tcBorders>
          </w:tcPr>
          <w:p>
            <w:pPr>
              <w:spacing w:after="375" w:line="273" w:lineRule="exact"/>
              <w:ind w:right="717"/>
              <w:jc w:val="right"/>
              <w:rPr>
                <w:rFonts w:ascii="Arial" w:hAnsi="Arial" w:cs="Arial"/>
                <w:spacing w:val="-1"/>
                <w:lang w:val="es-ES" w:eastAsia="es-ES"/>
              </w:rPr>
            </w:pPr>
            <w:r>
              <w:rPr>
                <w:rFonts w:ascii="Arial" w:hAnsi="Arial" w:cs="Arial"/>
                <w:spacing w:val="-1"/>
                <w:lang w:val="es-ES" w:eastAsia="es-ES"/>
              </w:rPr>
              <w:t>625.000</w:t>
            </w:r>
          </w:p>
        </w:tc>
        <w:tc>
          <w:tcPr>
            <w:tcW w:w="3390" w:type="dxa"/>
            <w:tcBorders>
              <w:top w:val="single" w:color="auto" w:sz="6" w:space="0"/>
              <w:left w:val="single" w:color="auto" w:sz="6" w:space="0"/>
              <w:bottom w:val="single" w:color="auto" w:sz="6" w:space="0"/>
              <w:right w:val="single" w:color="auto" w:sz="6" w:space="0"/>
            </w:tcBorders>
          </w:tcPr>
          <w:p>
            <w:pPr>
              <w:spacing w:after="59" w:line="294" w:lineRule="exact"/>
              <w:jc w:val="center"/>
              <w:rPr>
                <w:rFonts w:ascii="Arial" w:hAnsi="Arial" w:cs="Arial"/>
                <w:lang w:val="es-ES" w:eastAsia="es-ES"/>
              </w:rPr>
            </w:pPr>
            <w:r>
              <w:rPr>
                <w:rFonts w:ascii="Arial" w:hAnsi="Arial" w:cs="Arial"/>
                <w:lang w:val="es-ES" w:eastAsia="es-ES"/>
              </w:rPr>
              <w:t>15% sobre el exceso de la</w:t>
            </w:r>
            <w:r>
              <w:rPr>
                <w:rFonts w:ascii="Arial" w:hAnsi="Arial" w:cs="Arial"/>
                <w:lang w:val="es-ES" w:eastAsia="es-ES"/>
              </w:rPr>
              <w:br w:type="textWrapping"/>
            </w:r>
            <w:r>
              <w:rPr>
                <w:rFonts w:ascii="Arial" w:hAnsi="Arial" w:cs="Arial"/>
                <w:lang w:val="es-ES" w:eastAsia="es-ES"/>
              </w:rPr>
              <w:t>fracción básica</w:t>
            </w:r>
          </w:p>
        </w:tc>
      </w:tr>
      <w:tr>
        <w:tblPrEx>
          <w:tblLayout w:type="fixed"/>
          <w:tblCellMar>
            <w:top w:w="0" w:type="dxa"/>
            <w:left w:w="0" w:type="dxa"/>
            <w:bottom w:w="0" w:type="dxa"/>
            <w:right w:w="0" w:type="dxa"/>
          </w:tblCellMar>
        </w:tblPrEx>
        <w:trPr>
          <w:trHeight w:val="667" w:hRule="exact"/>
        </w:trPr>
        <w:tc>
          <w:tcPr>
            <w:tcW w:w="1958"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Arial" w:hAnsi="Arial" w:cs="Arial"/>
                <w:lang w:val="es-ES" w:eastAsia="es-ES"/>
              </w:rPr>
            </w:pPr>
            <w:r>
              <w:rPr>
                <w:rFonts w:ascii="Arial" w:hAnsi="Arial" w:cs="Arial"/>
                <w:lang w:val="es-ES" w:eastAsia="es-ES"/>
              </w:rPr>
              <w:t>10´ 000.000,01</w:t>
            </w:r>
            <w:r>
              <w:rPr>
                <w:rFonts w:ascii="Arial" w:hAnsi="Arial" w:cs="Arial"/>
                <w:lang w:val="es-ES" w:eastAsia="es-ES"/>
              </w:rPr>
              <w:br w:type="textWrapping"/>
            </w:r>
            <w:r>
              <w:rPr>
                <w:rFonts w:ascii="Arial" w:hAnsi="Arial" w:cs="Arial"/>
                <w:lang w:val="es-ES" w:eastAsia="es-ES"/>
              </w:rPr>
              <w:t>en adelante</w:t>
            </w:r>
          </w:p>
        </w:tc>
        <w:tc>
          <w:tcPr>
            <w:tcW w:w="1445" w:type="dxa"/>
            <w:tcBorders>
              <w:top w:val="single" w:color="auto" w:sz="6" w:space="0"/>
              <w:left w:val="single" w:color="auto" w:sz="6" w:space="0"/>
              <w:bottom w:val="single" w:color="auto" w:sz="6" w:space="0"/>
              <w:right w:val="single" w:color="auto" w:sz="6" w:space="0"/>
            </w:tcBorders>
          </w:tcPr>
          <w:p>
            <w:pPr>
              <w:spacing w:after="380" w:line="273" w:lineRule="exact"/>
              <w:jc w:val="center"/>
              <w:rPr>
                <w:rFonts w:ascii="Arial" w:hAnsi="Arial" w:cs="Arial"/>
                <w:lang w:val="es-ES" w:eastAsia="es-ES"/>
              </w:rPr>
            </w:pPr>
            <w:r>
              <w:rPr>
                <w:rFonts w:ascii="Arial" w:hAnsi="Arial" w:cs="Arial"/>
                <w:lang w:val="es-ES" w:eastAsia="es-ES"/>
              </w:rPr>
              <w:t>En adelante</w:t>
            </w:r>
          </w:p>
        </w:tc>
        <w:tc>
          <w:tcPr>
            <w:tcW w:w="2299" w:type="dxa"/>
            <w:tcBorders>
              <w:top w:val="single" w:color="auto" w:sz="6" w:space="0"/>
              <w:left w:val="single" w:color="auto" w:sz="6" w:space="0"/>
              <w:bottom w:val="single" w:color="auto" w:sz="6" w:space="0"/>
              <w:right w:val="single" w:color="auto" w:sz="6" w:space="0"/>
            </w:tcBorders>
          </w:tcPr>
          <w:p>
            <w:pPr>
              <w:spacing w:after="367" w:line="286" w:lineRule="exact"/>
              <w:ind w:right="627"/>
              <w:jc w:val="right"/>
              <w:rPr>
                <w:rFonts w:ascii="Arial" w:hAnsi="Arial" w:cs="Arial"/>
                <w:spacing w:val="-2"/>
                <w:lang w:val="es-ES" w:eastAsia="es-ES"/>
              </w:rPr>
            </w:pPr>
            <w:r>
              <w:rPr>
                <w:rFonts w:ascii="Arial" w:hAnsi="Arial" w:cs="Arial"/>
                <w:spacing w:val="-2"/>
                <w:lang w:val="es-ES" w:eastAsia="es-ES"/>
              </w:rPr>
              <w:t>1’500.000</w:t>
            </w:r>
          </w:p>
        </w:tc>
        <w:tc>
          <w:tcPr>
            <w:tcW w:w="3390" w:type="dxa"/>
            <w:tcBorders>
              <w:top w:val="single" w:color="auto" w:sz="6" w:space="0"/>
              <w:left w:val="single" w:color="auto" w:sz="6" w:space="0"/>
              <w:bottom w:val="single" w:color="auto" w:sz="6" w:space="0"/>
              <w:right w:val="single" w:color="auto" w:sz="6" w:space="0"/>
            </w:tcBorders>
          </w:tcPr>
          <w:p>
            <w:pPr>
              <w:spacing w:after="63" w:line="297" w:lineRule="exact"/>
              <w:jc w:val="center"/>
              <w:rPr>
                <w:rFonts w:ascii="Arial" w:hAnsi="Arial" w:cs="Arial"/>
                <w:lang w:val="es-ES" w:eastAsia="es-ES"/>
              </w:rPr>
            </w:pPr>
            <w:r>
              <w:rPr>
                <w:rFonts w:ascii="Arial" w:hAnsi="Arial" w:cs="Arial"/>
                <w:lang w:val="es-ES" w:eastAsia="es-ES"/>
              </w:rPr>
              <w:t>17,5% sobre el exceso de la</w:t>
            </w:r>
            <w:r>
              <w:rPr>
                <w:rFonts w:ascii="Arial" w:hAnsi="Arial" w:cs="Arial"/>
                <w:lang w:val="es-ES" w:eastAsia="es-ES"/>
              </w:rPr>
              <w:br w:type="textWrapping"/>
            </w:r>
            <w:r>
              <w:rPr>
                <w:rFonts w:ascii="Arial" w:hAnsi="Arial" w:cs="Arial"/>
                <w:lang w:val="es-ES" w:eastAsia="es-ES"/>
              </w:rPr>
              <w:t>fracción básica</w:t>
            </w:r>
          </w:p>
        </w:tc>
      </w:tr>
    </w:tbl>
    <w:p>
      <w:pPr>
        <w:spacing w:after="259" w:line="20" w:lineRule="exact"/>
        <w:ind w:right="28"/>
        <w:rPr>
          <w:rFonts w:ascii="Arial" w:hAnsi="Arial" w:cs="Arial"/>
        </w:rPr>
      </w:pPr>
    </w:p>
    <w:p>
      <w:pPr>
        <w:spacing w:line="240" w:lineRule="auto"/>
        <w:ind w:left="72" w:right="72"/>
        <w:jc w:val="both"/>
        <w:rPr>
          <w:rFonts w:ascii="Arial" w:hAnsi="Arial" w:cs="Arial"/>
          <w:i/>
          <w:lang w:val="es-ES" w:eastAsia="es-ES"/>
        </w:rPr>
      </w:pPr>
      <w:r>
        <w:rPr>
          <w:rFonts w:ascii="Arial" w:hAnsi="Arial" w:cs="Arial"/>
          <w:i/>
          <w:lang w:val="es-ES" w:eastAsia="es-ES"/>
        </w:rPr>
        <w:t>El patrimonio establecido en el cuadro precedente se podrá verificar a través de la declaración del impuesto a la renta del último ejercicio fiscal realizado ante el Servicio de Rentas Internas, o por el documento equivalente en el país de origen para aquellas ofertas extranjeras, el mismo que deberá ser apostillado y traducido al idioma español.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Calibri" w:cs="Arial"/>
          <w:b/>
          <w:bCs/>
          <w:spacing w:val="-3"/>
          <w:sz w:val="18"/>
          <w:szCs w:val="20"/>
          <w:lang w:val="es-ES" w:eastAsia="hi-IN" w:bidi="hi-IN"/>
        </w:rPr>
      </w:pPr>
      <w:r>
        <w:rPr>
          <w:rFonts w:ascii="Arial" w:hAnsi="Arial" w:eastAsia="Times New Roman" w:cs="Arial"/>
          <w:b/>
          <w:bCs/>
          <w:spacing w:val="-3"/>
          <w:sz w:val="20"/>
          <w:lang w:val="es-ES" w:eastAsia="hi-IN" w:bidi="hi-IN"/>
        </w:rPr>
        <w:t>4.1.6. Rubros y Análisis de Precios Unitarios:</w:t>
      </w:r>
    </w:p>
    <w:p>
      <w:pPr>
        <w:tabs>
          <w:tab w:val="left" w:pos="15"/>
        </w:tabs>
        <w:suppressAutoHyphens/>
        <w:spacing w:after="0" w:line="240" w:lineRule="auto"/>
        <w:jc w:val="both"/>
        <w:rPr>
          <w:rFonts w:ascii="Arial" w:hAnsi="Arial" w:eastAsia="Calibri" w:cs="Arial"/>
          <w:sz w:val="20"/>
          <w:lang w:val="es-ES" w:eastAsia="hi-IN" w:bidi="hi-IN"/>
        </w:rPr>
      </w:pPr>
    </w:p>
    <w:p>
      <w:pPr>
        <w:tabs>
          <w:tab w:val="left" w:pos="15"/>
        </w:tabs>
        <w:suppressAutoHyphens/>
        <w:spacing w:after="0" w:line="240" w:lineRule="auto"/>
        <w:jc w:val="both"/>
        <w:rPr>
          <w:rFonts w:ascii="Arial" w:hAnsi="Arial" w:eastAsia="Calibri" w:cs="Arial"/>
          <w:i/>
          <w:sz w:val="20"/>
          <w:lang w:val="es-ES" w:eastAsia="hi-IN" w:bidi="hi-IN"/>
        </w:rPr>
      </w:pPr>
      <w:r>
        <w:rPr>
          <w:rFonts w:ascii="Arial" w:hAnsi="Arial" w:eastAsia="Calibri" w:cs="Arial"/>
          <w:sz w:val="20"/>
          <w:lang w:val="es-ES" w:eastAsia="hi-IN" w:bidi="hi-IN"/>
        </w:rPr>
        <w:t xml:space="preserve">El oferente deberá cotizar todos y cada uno de los rubros señalados en el Formulario 1.4: “TABLA DE DESCRIPCIÓN DE RUBROS, UNIDADES, CANTIDADES Y PRECIOS”; además deberá realizar el análisis de precios unitarios de cada uno de ellos. </w:t>
      </w:r>
      <w:r>
        <w:rPr>
          <w:rFonts w:ascii="Arial" w:hAnsi="Arial" w:eastAsia="Calibri" w:cs="Arial"/>
          <w:b/>
          <w:sz w:val="20"/>
          <w:lang w:val="es-ES" w:eastAsia="hi-IN" w:bidi="hi-IN"/>
        </w:rPr>
        <w:t>(La omisión en la entrega de alguno de ellos, será causa de incumplimiento de este requisito mínimo y por ende de descalificación de la oferta).</w:t>
      </w:r>
      <w:r>
        <w:rPr>
          <w:rFonts w:ascii="Arial" w:hAnsi="Arial" w:eastAsia="Calibri" w:cs="Arial"/>
          <w:i/>
          <w:sz w:val="20"/>
          <w:lang w:val="es-ES" w:eastAsia="hi-IN" w:bidi="hi-IN"/>
        </w:rPr>
        <w:t>Los sueldos y salarios constantes en los análisis de precios se estipularán libremente, pero en ningún caso deberán ser inferiores a los mínimos vigentes en el país, en cuyo caso será causa de rechazo de la oferta.</w:t>
      </w:r>
    </w:p>
    <w:p>
      <w:pPr>
        <w:tabs>
          <w:tab w:val="left" w:pos="15"/>
        </w:tabs>
        <w:suppressAutoHyphens/>
        <w:spacing w:after="0" w:line="240" w:lineRule="auto"/>
        <w:jc w:val="both"/>
        <w:rPr>
          <w:rFonts w:ascii="Arial" w:hAnsi="Arial" w:eastAsia="Calibri" w:cs="Arial"/>
          <w:i/>
          <w:sz w:val="20"/>
          <w:lang w:val="es-ES" w:eastAsia="hi-IN" w:bidi="hi-IN"/>
        </w:rPr>
      </w:pPr>
    </w:p>
    <w:p>
      <w:pPr>
        <w:tabs>
          <w:tab w:val="left" w:pos="15"/>
        </w:tabs>
        <w:suppressAutoHyphens/>
        <w:spacing w:after="0" w:line="240" w:lineRule="auto"/>
        <w:jc w:val="both"/>
        <w:rPr>
          <w:rFonts w:ascii="Arial" w:hAnsi="Arial" w:eastAsia="Times New Roman" w:cs="Arial"/>
          <w:i/>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p>
    <w:p>
      <w:pPr>
        <w:tabs>
          <w:tab w:val="left" w:pos="15"/>
        </w:tabs>
        <w:suppressAutoHyphens/>
        <w:spacing w:after="0" w:line="240" w:lineRule="auto"/>
        <w:jc w:val="both"/>
        <w:rPr>
          <w:rFonts w:ascii="Arial" w:hAnsi="Arial" w:eastAsia="Times New Roman" w:cs="Arial"/>
          <w:b/>
          <w:bCs/>
          <w:spacing w:val="-3"/>
          <w:sz w:val="20"/>
          <w:lang w:val="es-ES" w:eastAsia="hi-IN" w:bidi="hi-IN"/>
        </w:rPr>
      </w:pPr>
      <w:r>
        <w:rPr>
          <w:rFonts w:ascii="Arial" w:hAnsi="Arial" w:eastAsia="Times New Roman" w:cs="Arial"/>
          <w:b/>
          <w:bCs/>
          <w:spacing w:val="-3"/>
          <w:sz w:val="20"/>
          <w:lang w:val="es-ES" w:eastAsia="hi-IN" w:bidi="hi-IN"/>
        </w:rPr>
        <w:t>4.1.7 Metodología y cronograma de ejecución del proyecto:</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 indicar con suficiente detalle la Metodología y procedimientos a seguir de una manera clara, para cumplir con los diferentes trabajos de ejecución de las obras, dentro del plazo de 90 días. Se considerará la correcta secuencia de actividades y el número de frentes de trabajo simultáneo que propone. El oferente no reproducirá las especificaciones técnicas de la obra para describir la metodología que propone usar.</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El oferente deberá presentar el Cronograma Valorado de ejecución de trabajos, que deberá guardar relación con los análisis de precios unitarios, el Personal Técnico propuesto y la utilización de equipos. Quien resultare ganador del presente concurso, deberá incluir adjunto al cronograma valorado, previo al inicio de los trabajos, la Ruta Crítica del Proyecto (CPM), el cual deberá ser concordante con el cronograma valorado presentado en su oferta, y aprobado por el Administrador del Contrato.</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r>
        <w:rPr>
          <w:rFonts w:ascii="Arial" w:hAnsi="Arial" w:eastAsia="Times New Roman" w:cs="Arial"/>
          <w:b/>
          <w:sz w:val="20"/>
          <w:lang w:eastAsia="hi-IN" w:bidi="hi-IN"/>
        </w:rPr>
        <w:t>4.1.8 Información financiera</w:t>
      </w: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Times New Roman" w:cs="Arial"/>
          <w:b/>
          <w:sz w:val="20"/>
          <w:lang w:eastAsia="hi-IN" w:bidi="hi-IN"/>
        </w:rPr>
      </w:pPr>
    </w:p>
    <w:p>
      <w:pPr>
        <w:spacing w:after="0" w:line="240" w:lineRule="auto"/>
        <w:jc w:val="both"/>
        <w:rPr>
          <w:rFonts w:ascii="Arial" w:hAnsi="Arial" w:eastAsia="Calibri" w:cs="Arial"/>
          <w:sz w:val="20"/>
        </w:rPr>
      </w:pPr>
      <w:r>
        <w:rPr>
          <w:rFonts w:ascii="Arial" w:hAnsi="Arial" w:eastAsia="Times New Roman" w:cs="Arial"/>
          <w:b/>
          <w:sz w:val="20"/>
          <w:lang w:eastAsia="hi-IN" w:bidi="hi-IN"/>
        </w:rPr>
        <w:t xml:space="preserve">Análisis Índices Financieros: </w:t>
      </w:r>
      <w:r>
        <w:rPr>
          <w:rFonts w:ascii="Arial" w:hAnsi="Arial" w:eastAsia="Calibri" w:cs="Arial"/>
          <w:sz w:val="20"/>
        </w:rPr>
        <w:t>La capacidad económico-financiera del Oferente será analizada considerando la información consignada en el Formulario 1.3. Los factores para su cálculo estarán respaldados en la Declaración del Impuesto a la Renta y/o los balances presentados al órgano de control respectivo.</w:t>
      </w:r>
    </w:p>
    <w:p>
      <w:pPr>
        <w:tabs>
          <w:tab w:val="left" w:pos="3765"/>
        </w:tabs>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análisis de los índices financieros se registrará conforme el detalle a continuación:</w:t>
      </w:r>
    </w:p>
    <w:p>
      <w:pPr>
        <w:suppressAutoHyphens/>
        <w:spacing w:after="0" w:line="240" w:lineRule="auto"/>
        <w:jc w:val="both"/>
        <w:rPr>
          <w:rFonts w:ascii="Arial" w:hAnsi="Arial" w:eastAsia="Times New Roman" w:cs="Arial"/>
          <w:spacing w:val="-3"/>
          <w:sz w:val="20"/>
          <w:lang w:eastAsia="hi-IN" w:bidi="hi-IN"/>
        </w:rPr>
      </w:pPr>
    </w:p>
    <w:tbl>
      <w:tblPr>
        <w:tblStyle w:val="46"/>
        <w:tblW w:w="7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5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Índice</w:t>
            </w:r>
          </w:p>
        </w:tc>
        <w:tc>
          <w:tcPr>
            <w:tcW w:w="2564"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Indicador solicitado</w:t>
            </w:r>
          </w:p>
        </w:tc>
        <w:tc>
          <w:tcPr>
            <w:tcW w:w="2558" w:type="dxa"/>
            <w:shd w:val="clear" w:color="auto" w:fill="D9D9D9"/>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Solvencia</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Igual o mayor a 1.0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Endeudamiento</w:t>
            </w:r>
          </w:p>
        </w:tc>
        <w:tc>
          <w:tcPr>
            <w:tcW w:w="2564" w:type="dxa"/>
            <w:shd w:val="clear" w:color="auto" w:fill="auto"/>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Menor a 0.85</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6" w:type="dxa"/>
            <w:shd w:val="clear" w:color="auto" w:fill="auto"/>
          </w:tcPr>
          <w:p>
            <w:pPr>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Estructural </w:t>
            </w:r>
          </w:p>
        </w:tc>
        <w:tc>
          <w:tcPr>
            <w:tcW w:w="2564"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r>
              <w:rPr>
                <w:rFonts w:ascii="Arial" w:hAnsi="Arial" w:eastAsia="Times New Roman" w:cs="Arial"/>
                <w:spacing w:val="-3"/>
                <w:sz w:val="20"/>
                <w:lang w:eastAsia="hi-IN" w:bidi="hi-IN"/>
              </w:rPr>
              <w:t>≥0.20</w:t>
            </w:r>
          </w:p>
        </w:tc>
        <w:tc>
          <w:tcPr>
            <w:tcW w:w="2558" w:type="dxa"/>
          </w:tcPr>
          <w:p>
            <w:pPr>
              <w:suppressAutoHyphens/>
              <w:spacing w:after="0" w:line="240" w:lineRule="auto"/>
              <w:jc w:val="both"/>
              <w:rPr>
                <w:rFonts w:ascii="Arial" w:hAnsi="Arial" w:eastAsia="Times New Roman" w:cs="Arial"/>
                <w:spacing w:val="-3"/>
                <w:sz w:val="20"/>
                <w:lang w:eastAsia="hi-IN" w:bidi="hi-IN"/>
              </w:rPr>
            </w:pPr>
          </w:p>
        </w:tc>
      </w:tr>
    </w:tbl>
    <w:p>
      <w:pPr>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El incumplimiento de alguno de los índices financieros será causal de descalificación de la oferta.</w:t>
      </w:r>
    </w:p>
    <w:p>
      <w:pPr>
        <w:suppressAutoHyphens/>
        <w:spacing w:after="0" w:line="240" w:lineRule="auto"/>
        <w:jc w:val="both"/>
        <w:rPr>
          <w:rFonts w:ascii="Arial" w:hAnsi="Arial" w:eastAsia="Times New Roman" w:cs="Arial"/>
          <w:spacing w:val="-3"/>
          <w:sz w:val="20"/>
          <w:lang w:val="es-ES" w:eastAsia="hi-IN" w:bidi="hi-IN"/>
        </w:rPr>
      </w:pPr>
    </w:p>
    <w:p>
      <w:pPr>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Índices Financieros serán calculados y presentados con la información obtenida de la Declaración del Impuesto a la Renta del último ejercicio fiscal correspondiente y del Estado de Situación Financiera Balance General (si estuviere obligado a llevar Contabilidad), según corresponda.</w:t>
      </w:r>
    </w:p>
    <w:p>
      <w:pPr>
        <w:suppressLineNumbers/>
        <w:tabs>
          <w:tab w:val="left" w:pos="15"/>
        </w:tabs>
        <w:suppressAutoHyphens/>
        <w:spacing w:after="0" w:line="240" w:lineRule="auto"/>
        <w:jc w:val="center"/>
        <w:rPr>
          <w:rFonts w:ascii="Arial" w:hAnsi="Arial" w:eastAsia="Times New Roman" w:cs="Arial"/>
          <w:spacing w:val="-3"/>
          <w:sz w:val="20"/>
          <w:lang w:val="es-ES" w:eastAsia="hi-IN"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factores para su cálculo estarán respaldados en la DECLARACIÓN DEL IMPUESTO A LA RENTA del ejercicio fiscal correspondiente ante el SRI y los BALANCES firmados por un contador profesional CPA, el cual deberá tener el registro de su ejercicio profesional en el SRI a la fecha de presentación de la oferta, lo cual será verificado a través de su RUC.</w:t>
      </w: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tabs>
          <w:tab w:val="left" w:pos="-720"/>
          <w:tab w:val="left" w:pos="0"/>
          <w:tab w:val="left" w:pos="720"/>
        </w:tabs>
        <w:suppressAutoHyphens/>
        <w:spacing w:after="0" w:line="240" w:lineRule="auto"/>
        <w:jc w:val="both"/>
        <w:rPr>
          <w:rFonts w:ascii="Arial" w:hAnsi="Arial" w:eastAsia="Times New Roman" w:cs="Arial"/>
          <w:spacing w:val="-3"/>
          <w:sz w:val="20"/>
          <w:lang w:eastAsia="ar-SA" w:bidi="hi-IN"/>
        </w:rPr>
      </w:pPr>
    </w:p>
    <w:p>
      <w:pPr>
        <w:suppressLineNumbers/>
        <w:tabs>
          <w:tab w:val="left" w:pos="15"/>
        </w:tabs>
        <w:suppressAutoHyphens/>
        <w:spacing w:after="0" w:line="240" w:lineRule="auto"/>
        <w:jc w:val="both"/>
        <w:rPr>
          <w:rFonts w:ascii="Arial" w:hAnsi="Arial" w:eastAsia="Times New Roman" w:cs="Arial"/>
          <w:spacing w:val="-3"/>
          <w:sz w:val="20"/>
          <w:lang w:val="es-ES" w:eastAsia="hi-IN" w:bidi="hi-IN"/>
        </w:rPr>
      </w:pPr>
    </w:p>
    <w:p>
      <w:pPr>
        <w:suppressLineNumbers/>
        <w:suppressAutoHyphens/>
        <w:snapToGrid w:val="0"/>
        <w:spacing w:after="0" w:line="240" w:lineRule="auto"/>
        <w:jc w:val="both"/>
        <w:rPr>
          <w:rFonts w:ascii="Arial" w:hAnsi="Arial" w:eastAsia="Times New Roman" w:cs="Arial"/>
          <w:b/>
          <w:iCs/>
          <w:sz w:val="20"/>
          <w:lang w:eastAsia="hi-IN" w:bidi="hi-IN"/>
        </w:rPr>
      </w:pPr>
      <w:r>
        <w:rPr>
          <w:rFonts w:ascii="Arial" w:hAnsi="Arial" w:eastAsia="Times New Roman" w:cs="Arial"/>
          <w:b/>
          <w:iCs/>
          <w:sz w:val="20"/>
          <w:lang w:eastAsia="hi-IN" w:bidi="hi-IN"/>
        </w:rPr>
        <w:t xml:space="preserve">4.1.9 Verificación de cumplimiento de integridad y requisitos mínimos de la oferta </w:t>
      </w:r>
    </w:p>
    <w:p>
      <w:pPr>
        <w:suppressAutoHyphens/>
        <w:spacing w:after="0" w:line="240" w:lineRule="auto"/>
        <w:jc w:val="both"/>
        <w:rPr>
          <w:rFonts w:ascii="Arial" w:hAnsi="Arial" w:eastAsia="Times New Roman" w:cs="Arial"/>
          <w:spacing w:val="-3"/>
          <w:sz w:val="20"/>
          <w:lang w:eastAsia="hi-IN" w:bidi="hi-IN"/>
        </w:rPr>
      </w:pPr>
    </w:p>
    <w:tbl>
      <w:tblPr>
        <w:tblStyle w:val="46"/>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1449"/>
        <w:gridCol w:w="155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PARÁMETRO</w:t>
            </w:r>
          </w:p>
        </w:tc>
        <w:tc>
          <w:tcPr>
            <w:tcW w:w="144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CUMPLE</w:t>
            </w:r>
          </w:p>
        </w:tc>
        <w:tc>
          <w:tcPr>
            <w:tcW w:w="1555"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NO CUMPLE</w:t>
            </w:r>
          </w:p>
        </w:tc>
        <w:tc>
          <w:tcPr>
            <w:tcW w:w="2109" w:type="dxa"/>
            <w:shd w:val="clear" w:color="auto" w:fill="D9D9D9"/>
            <w:vAlign w:val="center"/>
          </w:tcPr>
          <w:p>
            <w:pPr>
              <w:suppressAutoHyphens/>
              <w:spacing w:before="60" w:after="6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20"/>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Integridad de la oferta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Equipo mínimo </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Personal técnico mínimo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Experiencia mínima del Personal Técnico</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Patrimonio (Personas Jurídicas)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Rubros y Análisis de Precios Unitarios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Metodología y cronograma</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29" w:type="dxa"/>
            <w:shd w:val="clear" w:color="auto" w:fill="auto"/>
          </w:tcPr>
          <w:p>
            <w:pPr>
              <w:suppressAutoHyphens/>
              <w:spacing w:before="60" w:after="6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Índices Financieros</w:t>
            </w:r>
          </w:p>
        </w:tc>
        <w:tc>
          <w:tcPr>
            <w:tcW w:w="1449"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1555" w:type="dxa"/>
            <w:shd w:val="clear" w:color="auto" w:fill="auto"/>
            <w:vAlign w:val="center"/>
          </w:tcPr>
          <w:p>
            <w:pPr>
              <w:suppressAutoHyphens/>
              <w:spacing w:before="60" w:after="60" w:line="240" w:lineRule="auto"/>
              <w:jc w:val="center"/>
              <w:rPr>
                <w:rFonts w:ascii="Arial" w:hAnsi="Arial" w:eastAsia="Times New Roman" w:cs="Arial"/>
                <w:spacing w:val="-3"/>
                <w:sz w:val="20"/>
                <w:lang w:eastAsia="hi-IN" w:bidi="hi-IN"/>
              </w:rPr>
            </w:pPr>
          </w:p>
        </w:tc>
        <w:tc>
          <w:tcPr>
            <w:tcW w:w="2109" w:type="dxa"/>
            <w:vAlign w:val="center"/>
          </w:tcPr>
          <w:p>
            <w:pPr>
              <w:suppressAutoHyphens/>
              <w:spacing w:before="60" w:after="60" w:line="240" w:lineRule="auto"/>
              <w:jc w:val="center"/>
              <w:rPr>
                <w:rFonts w:ascii="Arial" w:hAnsi="Arial" w:eastAsia="Times New Roman" w:cs="Arial"/>
                <w:spacing w:val="-3"/>
                <w:sz w:val="20"/>
                <w:lang w:eastAsia="hi-IN" w:bidi="hi-IN"/>
              </w:rPr>
            </w:pPr>
          </w:p>
        </w:tc>
      </w:tr>
    </w:tbl>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i/>
          <w:sz w:val="20"/>
          <w:u w:val="single"/>
          <w:lang w:eastAsia="hi-IN" w:bidi="hi-IN"/>
        </w:rPr>
      </w:pPr>
      <w:r>
        <w:rPr>
          <w:rFonts w:ascii="Arial" w:hAnsi="Arial" w:eastAsia="Times New Roman" w:cs="Arial"/>
          <w:i/>
          <w:sz w:val="20"/>
          <w:u w:val="single"/>
          <w:lang w:eastAsia="hi-IN" w:bidi="hi-IN"/>
        </w:rPr>
        <w:t>Aquellas ofertas que cumplan integralmente con los parámetros mínimos, pasarán a la etapa de evaluación con puntaje, caso contrario serán descalificadas.</w:t>
      </w: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
          <w:bCs/>
          <w:spacing w:val="-3"/>
          <w:sz w:val="20"/>
          <w:lang w:eastAsia="hi-IN" w:bidi="hi-IN"/>
        </w:rPr>
        <w:t xml:space="preserve">4.2. Evaluación por puntaje: </w:t>
      </w:r>
      <w:r>
        <w:rPr>
          <w:rFonts w:ascii="Arial" w:hAnsi="Arial" w:eastAsia="Times New Roman" w:cs="Arial"/>
          <w:bCs/>
          <w:spacing w:val="-3"/>
          <w:sz w:val="20"/>
          <w:lang w:eastAsia="hi-IN" w:bidi="hi-IN"/>
        </w:rPr>
        <w:t>Solo las ofertas que cumplan con los requisitos mínimos serán objeto de evaluación por puntaje.</w:t>
      </w:r>
    </w:p>
    <w:p>
      <w:pPr>
        <w:suppressAutoHyphens/>
        <w:spacing w:after="0" w:line="240" w:lineRule="auto"/>
        <w:jc w:val="both"/>
        <w:rPr>
          <w:rFonts w:ascii="Arial" w:hAnsi="Arial" w:eastAsia="Times New Roman" w:cs="Arial"/>
          <w:bCs/>
          <w:spacing w:val="-3"/>
          <w:sz w:val="20"/>
          <w:lang w:eastAsia="hi-IN" w:bidi="hi-IN"/>
        </w:rPr>
      </w:pPr>
    </w:p>
    <w:p>
      <w:pPr>
        <w:suppressAutoHyphens/>
        <w:spacing w:after="0" w:line="240" w:lineRule="auto"/>
        <w:jc w:val="both"/>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El cuadro siguiente detalla los parámetros de evaluación y los puntajes a otorgar por cada uno de ellos:</w:t>
      </w:r>
    </w:p>
    <w:p>
      <w:pPr>
        <w:suppressAutoHyphens/>
        <w:spacing w:after="0" w:line="240" w:lineRule="auto"/>
        <w:jc w:val="both"/>
        <w:rPr>
          <w:rFonts w:ascii="Arial" w:hAnsi="Arial" w:eastAsia="Times New Roman" w:cs="Arial"/>
          <w:b/>
          <w:bCs/>
          <w:spacing w:val="-3"/>
          <w:sz w:val="20"/>
          <w:lang w:eastAsia="hi-IN" w:bidi="hi-IN"/>
        </w:rPr>
      </w:pPr>
    </w:p>
    <w:tbl>
      <w:tblPr>
        <w:tblStyle w:val="4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9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Parámetro sugerido</w:t>
            </w:r>
          </w:p>
        </w:tc>
        <w:tc>
          <w:tcPr>
            <w:tcW w:w="6810" w:type="dxa"/>
            <w:shd w:val="clear" w:color="auto" w:fill="D8D8D8" w:themeFill="background1" w:themeFillShade="D9"/>
          </w:tcPr>
          <w:p>
            <w:pPr>
              <w:suppressAutoHyphens/>
              <w:spacing w:before="60" w:after="60" w:line="240" w:lineRule="auto"/>
              <w:jc w:val="center"/>
              <w:rPr>
                <w:rFonts w:ascii="Arial" w:hAnsi="Arial" w:eastAsia="Times New Roman" w:cs="Arial"/>
                <w:b/>
                <w:bCs/>
                <w:spacing w:val="-3"/>
                <w:sz w:val="20"/>
                <w:lang w:eastAsia="hi-IN" w:bidi="hi-IN"/>
              </w:rPr>
            </w:pPr>
            <w:r>
              <w:rPr>
                <w:rFonts w:ascii="Arial" w:hAnsi="Arial" w:eastAsia="Times New Roman" w:cs="Arial"/>
                <w:b/>
                <w:bCs/>
                <w:sz w:val="20"/>
                <w:lang w:eastAsia="hi-IN" w:bidi="hi-IN"/>
              </w:rPr>
              <w:t>Descripción y Puntajes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 xml:space="preserve">Experiencia Específica del oferente </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(25 puntos)</w:t>
            </w:r>
          </w:p>
        </w:tc>
        <w:tc>
          <w:tcPr>
            <w:tcW w:w="6810" w:type="dxa"/>
            <w:shd w:val="clear" w:color="auto" w:fill="auto"/>
          </w:tcPr>
          <w:p>
            <w:pPr>
              <w:tabs>
                <w:tab w:val="left" w:pos="15"/>
              </w:tabs>
              <w:suppressAutoHyphens/>
              <w:spacing w:after="0" w:line="240" w:lineRule="auto"/>
              <w:jc w:val="both"/>
              <w:rPr>
                <w:rFonts w:ascii="Arial" w:hAnsi="Arial" w:eastAsia="Times New Roman" w:cs="Arial"/>
                <w:spacing w:val="-3"/>
                <w:sz w:val="20"/>
                <w:lang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participantes que con un máximo de 3 obras de PAVIMENTO FLEXIBLE (carpeta asfáltica en vías) realizadas en los últimos 15 años  justifiquen EL 100% DEL PRESUPUESTO REFERENCIAL SE LES ACREDITARÁ LA TOTALIDAD DE LOS PUNTOS, A LOS DEMAS SE LES OTORGARÁ EL PUNTAJE DE MANERA PROPORCIONAL.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Times New Roman" w:cs="Arial"/>
                <w:b/>
                <w:spacing w:val="-3"/>
                <w:sz w:val="20"/>
                <w:lang w:val="es-ES" w:eastAsia="hi-IN" w:bidi="hi-IN"/>
              </w:rPr>
              <w:t>Contratista o Subcontratista</w:t>
            </w:r>
            <w:r>
              <w:rPr>
                <w:rFonts w:ascii="Arial" w:hAnsi="Arial" w:eastAsia="Times New Roman" w:cs="Arial"/>
                <w:spacing w:val="-3"/>
                <w:sz w:val="20"/>
                <w:lang w:val="es-ES" w:eastAsia="hi-IN" w:bidi="hi-IN"/>
              </w:rPr>
              <w: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Se presentarán las Actas de Entrega – Recepción Definitivas de las obras donde ha actuado en las calidades antes mencionadas. Se aceptará también un certificado emitido por la Entidad Contratante de la obra en donde se describa el monto ejecutado y la fecha de ejecución de las obras. Todos los certificados deberán ser suscritos, en el caso de trabajos realizados para sector público, por la máxima autoridad, o Director Departamental correspondiente (No se aceptarán certificaciones otorgadas por el Fiscalizador de la obra, o por el Administrador del Contrato, o cualquier otro funcionario de la entidad contratante);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el caso de trabajos realizados para el sector privado, el certificado deberá estar suscrito por el Gerente,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 xml:space="preserve">de la entidad contratante de la obra.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kern w:val="3"/>
                <w:sz w:val="20"/>
                <w:lang w:val="es-ES" w:eastAsia="ar-SA"/>
              </w:rPr>
            </w:pPr>
            <w:r>
              <w:rPr>
                <w:rFonts w:ascii="Arial" w:hAnsi="Arial" w:eastAsia="Times New Roman" w:cs="Arial"/>
                <w:spacing w:val="-3"/>
                <w:sz w:val="20"/>
                <w:lang w:val="es-ES" w:eastAsia="hi-IN" w:bidi="hi-IN"/>
              </w:rPr>
              <w:t>Las actas que se entreguen deben ser Actas de Entrega - Recepción Definitiva. Solo en el caso de que no se cumpla el tiempo previsto para la obtención de estos documentos (6 meses), se aceptará Actas de Entrega - Recepción Provisional.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Experiencia del Personal Técnico</w:t>
            </w:r>
          </w:p>
          <w:p>
            <w:pPr>
              <w:suppressLineNumbers/>
              <w:suppressAutoHyphens/>
              <w:snapToGrid w:val="0"/>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(20 puntos)</w:t>
            </w:r>
          </w:p>
          <w:p>
            <w:pPr>
              <w:suppressAutoHyphens/>
              <w:spacing w:after="0" w:line="240" w:lineRule="auto"/>
              <w:jc w:val="center"/>
              <w:rPr>
                <w:rFonts w:ascii="Arial" w:hAnsi="Arial" w:eastAsia="Times New Roman" w:cs="Arial"/>
                <w:b/>
                <w:bCs/>
                <w:spacing w:val="-3"/>
                <w:sz w:val="20"/>
                <w:lang w:eastAsia="hi-IN" w:bidi="hi-IN"/>
              </w:rPr>
            </w:pPr>
          </w:p>
        </w:tc>
        <w:tc>
          <w:tcPr>
            <w:tcW w:w="6810" w:type="dxa"/>
            <w:shd w:val="clear" w:color="auto" w:fill="auto"/>
          </w:tcPr>
          <w:p>
            <w:pPr>
              <w:suppressLineNumbers/>
              <w:suppressAutoHyphens/>
              <w:spacing w:after="0" w:line="240" w:lineRule="auto"/>
              <w:jc w:val="both"/>
              <w:rPr>
                <w:rFonts w:ascii="Arial" w:hAnsi="Arial" w:eastAsia="Times New Roman" w:cs="Arial"/>
                <w:b/>
                <w:spacing w:val="-3"/>
                <w:sz w:val="20"/>
                <w:lang w:val="es-ES" w:eastAsia="hi-IN" w:bidi="hi-IN"/>
              </w:rPr>
            </w:pPr>
          </w:p>
          <w:p>
            <w:pPr>
              <w:suppressLineNumber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Superintendente: Máximo 10 puntos</w:t>
            </w:r>
          </w:p>
          <w:p>
            <w:pPr>
              <w:suppressLineNumbers/>
              <w:suppressAutoHyphens/>
              <w:spacing w:after="0" w:line="240" w:lineRule="auto"/>
              <w:jc w:val="both"/>
              <w:rPr>
                <w:rFonts w:ascii="Arial" w:hAnsi="Arial" w:eastAsia="Times New Roman" w:cs="Arial"/>
                <w:b/>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15 años  justifiquen EL 100% DEL PRESUPUESTO REFERENCIAL SE LES ACREDITARÁ LA TOTALIDAD DE LOS PUNTOS, A LOS DEMAS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CONSIDERARÁN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i/>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 xml:space="preserve">Contratista, Fiscalizador, Superintendente, Supervisor, Residente de obra y/o de Fiscalización, Jefe o Director Técnico o Subcontratista </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Superintendente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pStyle w:val="57"/>
              <w:rPr>
                <w:rFonts w:ascii="Arial" w:hAnsi="Arial" w:cs="Arial"/>
                <w:spacing w:val="-3"/>
                <w:sz w:val="20"/>
                <w:lang w:val="es-ES"/>
              </w:rPr>
            </w:pPr>
          </w:p>
          <w:p>
            <w:pPr>
              <w:numPr>
                <w:ilvl w:val="0"/>
                <w:numId w:val="7"/>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tabs>
                <w:tab w:val="left" w:pos="-720"/>
              </w:tabs>
              <w:suppressAutoHyphens/>
              <w:spacing w:after="0" w:line="240" w:lineRule="auto"/>
              <w:ind w:left="360"/>
              <w:jc w:val="both"/>
              <w:rPr>
                <w:rFonts w:ascii="Arial" w:hAnsi="Arial" w:eastAsia="Times New Roman" w:cs="Arial"/>
                <w:spacing w:val="-3"/>
                <w:sz w:val="20"/>
                <w:lang w:val="es-ES" w:eastAsia="hi-IN" w:bidi="hi-IN"/>
              </w:rPr>
            </w:pPr>
          </w:p>
          <w:p>
            <w:pPr>
              <w:pStyle w:val="57"/>
              <w:numPr>
                <w:ilvl w:val="0"/>
                <w:numId w:val="7"/>
              </w:numPr>
              <w:rPr>
                <w:rFonts w:ascii="Arial" w:hAnsi="Arial" w:cs="Arial"/>
                <w:i/>
                <w:spacing w:val="-3"/>
                <w:sz w:val="20"/>
                <w:lang w:val="es-ES"/>
              </w:rPr>
            </w:pPr>
            <w:r>
              <w:rPr>
                <w:rFonts w:ascii="Arial" w:hAnsi="Arial" w:cs="Arial"/>
                <w:spacing w:val="-3"/>
                <w:sz w:val="20"/>
                <w:lang w:val="es-ES"/>
              </w:rPr>
              <w:t xml:space="preserve">Si el profesional ha participado en calidad de </w:t>
            </w:r>
            <w:r>
              <w:rPr>
                <w:rFonts w:ascii="Arial" w:hAnsi="Arial" w:cs="Arial"/>
                <w:b/>
                <w:i/>
                <w:spacing w:val="-3"/>
                <w:sz w:val="20"/>
                <w:lang w:val="es-ES"/>
              </w:rPr>
              <w:t>Fiscalizador</w:t>
            </w:r>
            <w:r>
              <w:rPr>
                <w:rFonts w:ascii="Arial" w:hAnsi="Arial" w:cs="Arial"/>
                <w:i/>
                <w:spacing w:val="-3"/>
                <w:sz w:val="20"/>
                <w:lang w:val="es-ES"/>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cs="Arial"/>
                <w:spacing w:val="-3"/>
                <w:sz w:val="20"/>
                <w:lang w:val="es-ES"/>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cs="Arial"/>
                <w:i/>
                <w:spacing w:val="-3"/>
                <w:sz w:val="20"/>
                <w:lang w:val="es-ES"/>
              </w:rPr>
              <w:t xml:space="preserve">(No se aceptarán certificaciones otorgadas por el Fiscalizador de la obra, </w:t>
            </w:r>
            <w:r>
              <w:rPr>
                <w:rFonts w:ascii="Arial" w:hAnsi="Arial" w:cs="Arial"/>
                <w:spacing w:val="-3"/>
                <w:sz w:val="20"/>
                <w:lang w:val="es-ES"/>
              </w:rPr>
              <w:t>o por el Administrador del Contrato). En el caso de trabajos realizados para el sector privado, el certificado deberá estar suscrito por el Gerente o Representante Legal de la entidad contratante</w:t>
            </w:r>
            <w:r>
              <w:rPr>
                <w:rFonts w:ascii="Arial" w:hAnsi="Arial" w:cs="Arial"/>
                <w:i/>
                <w:spacing w:val="-3"/>
                <w:sz w:val="20"/>
                <w:lang w:val="es-ES"/>
              </w:rPr>
              <w:t>. Certificaciones o actas con relación de dependencia del sector público o privado, se valorará el 40% de monto certificado.</w:t>
            </w:r>
          </w:p>
          <w:p>
            <w:pPr>
              <w:pStyle w:val="57"/>
              <w:rPr>
                <w:rFonts w:ascii="Arial" w:hAnsi="Arial" w:cs="Arial"/>
                <w:lang w:val="es-ES"/>
              </w:rPr>
            </w:pPr>
          </w:p>
          <w:p>
            <w:pPr>
              <w:pStyle w:val="57"/>
              <w:numPr>
                <w:ilvl w:val="0"/>
                <w:numId w:val="7"/>
              </w:numPr>
              <w:rPr>
                <w:rFonts w:ascii="Arial" w:hAnsi="Arial" w:cs="Arial"/>
                <w:spacing w:val="-3"/>
                <w:sz w:val="20"/>
                <w:lang w:val="es-ES"/>
              </w:rPr>
            </w:pPr>
            <w:r>
              <w:rPr>
                <w:rFonts w:ascii="Arial" w:hAnsi="Arial" w:cs="Arial"/>
                <w:spacing w:val="-3"/>
                <w:sz w:val="20"/>
                <w:lang w:val="es-ES"/>
              </w:rPr>
              <w:t xml:space="preserve">Si el profesional ha participado en calidad de </w:t>
            </w:r>
            <w:r>
              <w:rPr>
                <w:rFonts w:ascii="Arial" w:hAnsi="Arial" w:cs="Arial"/>
                <w:b/>
                <w:spacing w:val="-3"/>
                <w:sz w:val="20"/>
                <w:lang w:val="es-ES"/>
              </w:rPr>
              <w:t>Superintendente, Supervisor, Residente de obra y/o de Fiscalización, Jefe o Director Técnico de obras similares</w:t>
            </w:r>
            <w:r>
              <w:rPr>
                <w:rFonts w:ascii="Arial" w:hAnsi="Arial" w:cs="Arial"/>
                <w:spacing w:val="-3"/>
                <w:sz w:val="20"/>
                <w:lang w:val="es-ES"/>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o técnico debidamente acreditado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jc w:val="both"/>
              <w:rPr>
                <w:rFonts w:ascii="Arial" w:hAnsi="Arial" w:eastAsia="Times New Roman" w:cs="Arial"/>
                <w:szCs w:val="20"/>
                <w:lang w:eastAsia="hi-IN" w:bidi="hi-IN"/>
              </w:rPr>
            </w:pPr>
          </w:p>
          <w:p>
            <w:pPr>
              <w:numPr>
                <w:ilvl w:val="0"/>
                <w:numId w:val="7"/>
              </w:numPr>
              <w:tabs>
                <w:tab w:val="left" w:pos="-720"/>
              </w:tabs>
              <w:suppressAutoHyphens/>
              <w:spacing w:after="0" w:line="240" w:lineRule="auto"/>
              <w:jc w:val="both"/>
              <w:rPr>
                <w:rFonts w:ascii="Arial" w:hAnsi="Arial" w:eastAsia="Times New Roman" w:cs="Arial"/>
                <w:szCs w:val="20"/>
                <w:lang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pStyle w:val="57"/>
              <w:rPr>
                <w:rFonts w:ascii="Arial" w:hAnsi="Arial" w:cs="Arial"/>
              </w:rPr>
            </w:pPr>
          </w:p>
          <w:p>
            <w:pPr>
              <w:tabs>
                <w:tab w:val="left" w:pos="-720"/>
              </w:tabs>
              <w:suppressAutoHyphens/>
              <w:spacing w:after="0" w:line="240" w:lineRule="auto"/>
              <w:ind w:left="720"/>
              <w:jc w:val="both"/>
              <w:rPr>
                <w:rFonts w:ascii="Arial" w:hAnsi="Arial" w:eastAsia="Times New Roman" w:cs="Arial"/>
                <w:szCs w:val="20"/>
                <w:lang w:eastAsia="hi-IN" w:bidi="hi-IN"/>
              </w:rPr>
            </w:pPr>
          </w:p>
          <w:p>
            <w:pPr>
              <w:tabs>
                <w:tab w:val="left" w:pos="317"/>
              </w:tabs>
              <w:suppressAutoHyphens/>
              <w:spacing w:after="0" w:line="240" w:lineRule="auto"/>
              <w:ind w:right="45"/>
              <w:jc w:val="both"/>
              <w:rPr>
                <w:rFonts w:ascii="Arial" w:hAnsi="Arial" w:eastAsia="Times New Roman" w:cs="Arial"/>
                <w:i/>
                <w:spacing w:val="-3"/>
                <w:sz w:val="20"/>
                <w:lang w:val="es-ES" w:eastAsia="hi-IN" w:bidi="hi-IN"/>
              </w:rPr>
            </w:pPr>
          </w:p>
          <w:p>
            <w:pPr>
              <w:tabs>
                <w:tab w:val="left" w:pos="774"/>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b/>
                <w:spacing w:val="-3"/>
                <w:sz w:val="20"/>
                <w:lang w:val="es-ES" w:eastAsia="hi-IN" w:bidi="hi-IN"/>
              </w:rPr>
              <w:t>Residentes de Obra: Máximo 8 puntos (4 puntos por cada uno que cumpla lo requerido)</w:t>
            </w:r>
          </w:p>
          <w:p>
            <w:pPr>
              <w:tabs>
                <w:tab w:val="left" w:pos="15"/>
              </w:tabs>
              <w:suppressAutoHyphens/>
              <w:spacing w:after="0" w:line="240" w:lineRule="auto"/>
              <w:ind w:left="769" w:right="96"/>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Los profesionales propuestos que, con un máximo de 3 obras de PAVIMENTO FLEXIBLE (carpeta asfáltica en vías) realizadas en los últimos 10 años justifiquen El 60% DEL PRESUPUESTO REFERENCIAL SE LES ACREDITARÁ LA TOTALIDAD DE LOS PUNTOS, A LOS DEMÁS SE LES OTORGARÁ EL PUNTAJE DE MANERA PROPORCIONAL. La experiencia se acreditará únicamente en obras concluidas.</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NO SE CONSIDERARAN LA O LAS EXPERIENCIAS PRESENTADAS EN LA ETAPA DE EVALUACIÓN MEDIANTE LA METODOLOGÍA DE CHECK LIST.</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La experiencia se acreditará siempre y cuando haya participado como </w:t>
            </w:r>
            <w:r>
              <w:rPr>
                <w:rFonts w:ascii="Arial" w:hAnsi="Arial" w:eastAsia="Arial Unicode MS" w:cs="Arial"/>
                <w:bCs/>
                <w:sz w:val="20"/>
                <w:lang w:val="es-ES" w:eastAsia="ar-SA"/>
              </w:rPr>
              <w:t>Contratista, Fiscalizador, Superintendente, Supervisor, Residente de obra y/o de Fiscalización, Jefe o Director Técnico o Subcontratista</w:t>
            </w:r>
            <w:r>
              <w:rPr>
                <w:rFonts w:ascii="Arial" w:hAnsi="Arial" w:eastAsia="Times New Roman" w:cs="Arial"/>
                <w:spacing w:val="-3"/>
                <w:sz w:val="20"/>
                <w:lang w:val="es-ES" w:eastAsia="hi-IN" w:bidi="hi-IN"/>
              </w:rPr>
              <w:t xml:space="preserve">de obras similares, </w:t>
            </w:r>
            <w:r>
              <w:rPr>
                <w:rFonts w:ascii="Arial" w:hAnsi="Arial" w:eastAsia="Arial Unicode MS" w:cs="Arial"/>
                <w:bCs/>
                <w:sz w:val="20"/>
                <w:lang w:val="es-ES" w:eastAsia="ar-SA"/>
              </w:rPr>
              <w:t>entendiéndose como obra similar: Pavimento Flexible (Carpeta asfáltica en vías)</w:t>
            </w:r>
            <w:r>
              <w:rPr>
                <w:rFonts w:ascii="Arial" w:hAnsi="Arial" w:eastAsia="Times New Roman" w:cs="Arial"/>
                <w:spacing w:val="-3"/>
                <w:sz w:val="20"/>
                <w:lang w:val="es-ES" w:eastAsia="hi-IN" w:bidi="hi-IN"/>
              </w:rPr>
              <w:t>.</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tabs>
                <w:tab w:val="left" w:pos="-720"/>
              </w:tabs>
              <w:suppressAutoHyphens/>
              <w:spacing w:after="0" w:line="240" w:lineRule="auto"/>
              <w:jc w:val="both"/>
              <w:rPr>
                <w:rFonts w:ascii="Arial" w:hAnsi="Arial" w:eastAsia="Times New Roman" w:cs="Arial"/>
                <w:i/>
                <w:spacing w:val="-3"/>
                <w:sz w:val="20"/>
                <w:lang w:val="es-ES" w:eastAsia="hi-IN" w:bidi="hi-IN"/>
              </w:rPr>
            </w:pPr>
            <w:r>
              <w:rPr>
                <w:rFonts w:ascii="Arial" w:hAnsi="Arial" w:eastAsia="Times New Roman" w:cs="Arial"/>
                <w:i/>
                <w:spacing w:val="-3"/>
                <w:sz w:val="20"/>
                <w:lang w:val="es-ES" w:eastAsia="hi-IN" w:bidi="hi-IN"/>
              </w:rPr>
              <w:t xml:space="preserve">La Experiencia del residente será reconocida y aceptada en los siguientes casos: </w:t>
            </w:r>
          </w:p>
          <w:p>
            <w:pPr>
              <w:tabs>
                <w:tab w:val="left" w:pos="15"/>
              </w:tabs>
              <w:suppressAutoHyphens/>
              <w:spacing w:after="0" w:line="240" w:lineRule="auto"/>
              <w:ind w:left="720"/>
              <w:jc w:val="both"/>
              <w:rPr>
                <w:rFonts w:ascii="Arial" w:hAnsi="Arial" w:eastAsia="Times New Roman" w:cs="Arial"/>
                <w:b/>
                <w:i/>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En obras donde el profesional </w:t>
            </w:r>
            <w:r>
              <w:rPr>
                <w:rFonts w:ascii="Arial" w:hAnsi="Arial" w:eastAsia="Times New Roman" w:cs="Arial"/>
                <w:b/>
                <w:i/>
                <w:spacing w:val="-3"/>
                <w:sz w:val="20"/>
                <w:lang w:val="es-ES" w:eastAsia="hi-IN" w:bidi="hi-IN"/>
              </w:rPr>
              <w:t>ha sido contratista</w:t>
            </w:r>
            <w:r>
              <w:rPr>
                <w:rFonts w:ascii="Arial" w:hAnsi="Arial" w:eastAsia="Times New Roman" w:cs="Arial"/>
                <w:spacing w:val="-3"/>
                <w:sz w:val="20"/>
                <w:lang w:val="es-ES" w:eastAsia="hi-IN" w:bidi="hi-IN"/>
              </w:rPr>
              <w:t xml:space="preserve"> para una entidad pública, se requiere presentar las respectivas Actas de Recepción Definitivas; sólo en el caso de que no se cumpla el tiempo previsto para la obtención de estos documentos (6 meses), se aceptará Actas de Entrega - Recepción Provisional. </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jurídica), se requiere presentar el Acta de Entrega - Recepción Definitiva. Solo en el caso de que no se cumpla el tiempo previsto para la obtención de estos documentos (6 meses), se aceptará Actas de Entrega - Recepción Provisional. También se aceptarán certificados emitidos por el Gerente o Representante Legal </w:t>
            </w:r>
            <w:r>
              <w:rPr>
                <w:rFonts w:ascii="Arial" w:hAnsi="Arial" w:eastAsia="Arial Unicode MS" w:cs="Arial"/>
                <w:bCs/>
                <w:sz w:val="20"/>
                <w:lang w:val="es-ES" w:eastAsia="ar-SA"/>
              </w:rPr>
              <w:t xml:space="preserve">o técnico debidamente acreditado </w:t>
            </w:r>
            <w:r>
              <w:rPr>
                <w:rFonts w:ascii="Arial" w:hAnsi="Arial" w:eastAsia="Times New Roman" w:cs="Arial"/>
                <w:spacing w:val="-3"/>
                <w:sz w:val="20"/>
                <w:lang w:val="es-ES" w:eastAsia="hi-IN" w:bidi="hi-IN"/>
              </w:rPr>
              <w:t>de la Empresa, expresando que la obra ha sido finalizada, cumpliendo satisfactoriamente con lo establecido en el contrato, certificado en el que debe constar además el monto ejecutado y la fecha de ejecución.</w:t>
            </w:r>
          </w:p>
          <w:p>
            <w:pPr>
              <w:suppressAutoHyphens/>
              <w:spacing w:after="0" w:line="240" w:lineRule="auto"/>
              <w:ind w:left="720"/>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ind w:left="777" w:hanging="425"/>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w:t>
            </w:r>
            <w:r>
              <w:rPr>
                <w:rFonts w:ascii="Arial" w:hAnsi="Arial" w:eastAsia="Times New Roman" w:cs="Arial"/>
                <w:b/>
                <w:i/>
                <w:spacing w:val="-3"/>
                <w:sz w:val="20"/>
                <w:lang w:val="es-ES" w:eastAsia="hi-IN" w:bidi="hi-IN"/>
              </w:rPr>
              <w:t>construido</w:t>
            </w:r>
            <w:r>
              <w:rPr>
                <w:rFonts w:ascii="Arial" w:hAnsi="Arial" w:eastAsia="Times New Roman" w:cs="Arial"/>
                <w:spacing w:val="-3"/>
                <w:sz w:val="20"/>
                <w:lang w:val="es-ES" w:eastAsia="hi-IN" w:bidi="hi-IN"/>
              </w:rPr>
              <w:t xml:space="preserve"> para una entidad privada (persona natural), requiere presentar la certificación emitida por el propietario de la obra donde se indique que el profesional propuesto ha participado en calidad de constructor, que la obra ha sido terminada y ejecutada a satisfacción del contratante en el que conste el monto ejecutado y la fecha de ejecución.</w:t>
            </w:r>
          </w:p>
          <w:p>
            <w:pPr>
              <w:pStyle w:val="57"/>
              <w:rPr>
                <w:rFonts w:ascii="Arial" w:hAnsi="Arial" w:cs="Arial"/>
                <w:spacing w:val="-3"/>
                <w:sz w:val="20"/>
                <w:lang w:val="es-ES"/>
              </w:rPr>
            </w:pPr>
          </w:p>
          <w:p>
            <w:pPr>
              <w:numPr>
                <w:ilvl w:val="0"/>
                <w:numId w:val="8"/>
              </w:numPr>
              <w:tabs>
                <w:tab w:val="left" w:pos="-720"/>
              </w:tabs>
              <w:suppressAutoHyphens/>
              <w:spacing w:after="0" w:line="240" w:lineRule="auto"/>
              <w:ind w:left="777"/>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Si el profesional ha participado en calidad de </w:t>
            </w:r>
            <w:r>
              <w:rPr>
                <w:rFonts w:ascii="Arial" w:hAnsi="Arial" w:eastAsia="Times New Roman" w:cs="Arial"/>
                <w:b/>
                <w:i/>
                <w:spacing w:val="-3"/>
                <w:sz w:val="20"/>
                <w:lang w:val="es-ES" w:eastAsia="hi-IN" w:bidi="hi-IN"/>
              </w:rPr>
              <w:t>Fiscalizador</w:t>
            </w:r>
            <w:r>
              <w:rPr>
                <w:rFonts w:ascii="Arial" w:hAnsi="Arial" w:eastAsia="Times New Roman" w:cs="Arial"/>
                <w:i/>
                <w:spacing w:val="-3"/>
                <w:sz w:val="20"/>
                <w:lang w:val="es-ES" w:eastAsia="hi-IN" w:bidi="hi-IN"/>
              </w:rPr>
              <w:t>, deberá presentar el acta de entrega recepción de la Consultoría, además las actas de entrega-recepción de las obras fiscalizadas, o un certificado emitido por la Entidad Contratante, en el que consten los montos y la fecha de las obras fiscalizadas. S</w:t>
            </w:r>
            <w:r>
              <w:rPr>
                <w:rFonts w:ascii="Arial" w:hAnsi="Arial" w:eastAsia="Times New Roman" w:cs="Arial"/>
                <w:spacing w:val="-3"/>
                <w:sz w:val="20"/>
                <w:lang w:val="es-ES" w:eastAsia="hi-IN" w:bidi="hi-IN"/>
              </w:rPr>
              <w:t xml:space="preserve">e reconocerá la experiencia adquirida en relación de dependencia, ya sea para una entidad pública o privada, si el certificado emitido por la Entidad contratante demuestra su participación efectiva, como empleado privado o servidor público, en la ejecución de las obras. Todos los certificados deberán ser suscritos, en el sector público, por la máxima autoridad, su delegado, o Director Departamental correspondiente </w:t>
            </w:r>
            <w:r>
              <w:rPr>
                <w:rFonts w:ascii="Arial" w:hAnsi="Arial" w:eastAsia="Times New Roman" w:cs="Arial"/>
                <w:i/>
                <w:spacing w:val="-3"/>
                <w:sz w:val="20"/>
                <w:lang w:val="es-ES" w:eastAsia="hi-IN" w:bidi="hi-IN"/>
              </w:rPr>
              <w:t xml:space="preserve">(No se aceptarán certificaciones otorgadas por el Fiscalizador de la obra, </w:t>
            </w:r>
            <w:r>
              <w:rPr>
                <w:rFonts w:ascii="Arial" w:hAnsi="Arial" w:eastAsia="Times New Roman" w:cs="Arial"/>
                <w:spacing w:val="-3"/>
                <w:sz w:val="20"/>
                <w:lang w:val="es-ES" w:eastAsia="hi-IN" w:bidi="hi-IN"/>
              </w:rPr>
              <w:t>o por el Administrador del Contrato. En el caso de trabajos realizados para el sector privado, el certificado deberá estar suscrito por el Gerente o Representante Legal de la entidad contratante</w:t>
            </w:r>
            <w:r>
              <w:rPr>
                <w:rFonts w:ascii="Arial" w:hAnsi="Arial" w:eastAsia="Times New Roman" w:cs="Arial"/>
                <w:i/>
                <w:spacing w:val="-3"/>
                <w:sz w:val="20"/>
                <w:lang w:val="es-ES" w:eastAsia="hi-IN" w:bidi="hi-IN"/>
              </w:rPr>
              <w:t>. Certificaciones o actas con relación de dependencia del sector público o privado, se valorará el 40% de monto certificado.</w:t>
            </w:r>
          </w:p>
          <w:p>
            <w:pPr>
              <w:pStyle w:val="57"/>
              <w:rPr>
                <w:rFonts w:ascii="Arial" w:hAnsi="Arial" w:cs="Arial"/>
                <w:i/>
                <w:spacing w:val="-3"/>
                <w:sz w:val="20"/>
                <w:lang w:val="es-ES"/>
              </w:rPr>
            </w:pPr>
          </w:p>
          <w:p>
            <w:pPr>
              <w:tabs>
                <w:tab w:val="left" w:pos="-720"/>
              </w:tabs>
              <w:suppressAutoHyphens/>
              <w:spacing w:after="0" w:line="240" w:lineRule="auto"/>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Si el profesional ha participado en calidad de</w:t>
            </w:r>
            <w:r>
              <w:rPr>
                <w:rFonts w:ascii="Arial" w:hAnsi="Arial" w:eastAsia="Arial Unicode MS" w:cs="Arial"/>
                <w:bCs/>
                <w:sz w:val="20"/>
                <w:lang w:val="es-ES" w:eastAsia="ar-SA"/>
              </w:rPr>
              <w:t xml:space="preserve"> </w:t>
            </w:r>
            <w:r>
              <w:rPr>
                <w:rFonts w:ascii="Arial" w:hAnsi="Arial" w:eastAsia="Arial Unicode MS" w:cs="Arial"/>
                <w:b/>
                <w:bCs/>
                <w:sz w:val="20"/>
                <w:lang w:val="es-ES" w:eastAsia="ar-SA"/>
              </w:rPr>
              <w:t xml:space="preserve">Superintendente, Supervisor, Residente de obra y/o de Fiscalización, Jefe o Director Técnico </w:t>
            </w:r>
            <w:r>
              <w:rPr>
                <w:rFonts w:ascii="Arial" w:hAnsi="Arial" w:eastAsia="Times New Roman" w:cs="Arial"/>
                <w:b/>
                <w:spacing w:val="-3"/>
                <w:sz w:val="20"/>
                <w:lang w:val="es-ES" w:eastAsia="hi-IN" w:bidi="hi-IN"/>
              </w:rPr>
              <w:t>de obras similares</w:t>
            </w:r>
            <w:r>
              <w:rPr>
                <w:rFonts w:ascii="Arial" w:hAnsi="Arial" w:eastAsia="Times New Roman" w:cs="Arial"/>
                <w:spacing w:val="-3"/>
                <w:sz w:val="20"/>
                <w:lang w:val="es-ES" w:eastAsia="hi-IN" w:bidi="hi-IN"/>
              </w:rPr>
              <w:t xml:space="preserve">, para una entidad pública o privada, se reconocerá la experiencia adquirida en relación de dependencia, si el certificado emitido por la Entidad contratante, demuestra su participación efectiva, como empleado privado o como servidor público, en la ejecución de las obras. Se presentarán las Actas de Entrega - Recepción de las obras donde ha actuado en las calidades antes mencionadas. Se aceptará también un certificado emitido por la Entidad contratante de la obra en donde se describa el monto ejecutado y la fecha de ejecución de las obras. Todos los certificados deberán ser suscritos, en el sector público, por la máxima autoridad, o Director Departamental correspondiente (No se aceptarán certificaciones otorgadas por el Fiscalizador de la obra, o por el Administrador del Contrato, o cualquier otro funcionario de la entidad contratante); en el caso de trabajos realizados para el sector privado, el certificado deberá estar suscrito por el Gerente, Representante Legal </w:t>
            </w:r>
            <w:r>
              <w:rPr>
                <w:rFonts w:ascii="Arial" w:hAnsi="Arial" w:eastAsia="Arial Unicode MS" w:cs="Arial"/>
                <w:bCs/>
                <w:sz w:val="20"/>
                <w:lang w:val="es-ES" w:eastAsia="ar-SA"/>
              </w:rPr>
              <w:t>o técnico debidamente acreditado</w:t>
            </w:r>
            <w:r>
              <w:rPr>
                <w:rFonts w:ascii="Arial" w:hAnsi="Arial" w:eastAsia="Times New Roman" w:cs="Arial"/>
                <w:spacing w:val="-3"/>
                <w:sz w:val="20"/>
                <w:lang w:val="es-ES" w:eastAsia="hi-IN" w:bidi="hi-IN"/>
              </w:rPr>
              <w:t xml:space="preserve"> de la entidad contratante de la obra. Las actas que se entreguen deben ser Actas de Entrega - Recepción Definitiva. Solo en el caso de que no se cumpla el tiempo previsto para la obtención de estos documentos (6 meses), se aceptará Actas de Entrega - Recepción Provisional. </w:t>
            </w:r>
            <w:r>
              <w:rPr>
                <w:rFonts w:ascii="Arial" w:hAnsi="Arial" w:cs="Arial"/>
                <w:i/>
                <w:spacing w:val="-3"/>
                <w:sz w:val="20"/>
                <w:lang w:val="es-ES"/>
              </w:rPr>
              <w:t>Certificaciones o actas con relación de dependencia del sector público o privado, se valorará el 40% de monto certificado.</w:t>
            </w:r>
          </w:p>
          <w:p>
            <w:pPr>
              <w:tabs>
                <w:tab w:val="left" w:pos="-720"/>
              </w:tabs>
              <w:suppressAutoHyphens/>
              <w:spacing w:after="0" w:line="240" w:lineRule="auto"/>
              <w:ind w:left="720"/>
              <w:jc w:val="both"/>
              <w:rPr>
                <w:rFonts w:ascii="Arial" w:hAnsi="Arial" w:eastAsia="Times New Roman" w:cs="Arial"/>
                <w:spacing w:val="-3"/>
                <w:sz w:val="20"/>
                <w:lang w:val="es-ES" w:eastAsia="hi-IN" w:bidi="hi-IN"/>
              </w:rPr>
            </w:pPr>
          </w:p>
          <w:p>
            <w:pPr>
              <w:numPr>
                <w:ilvl w:val="0"/>
                <w:numId w:val="8"/>
              </w:numPr>
              <w:tabs>
                <w:tab w:val="left" w:pos="-720"/>
              </w:tabs>
              <w:suppressAutoHyphens/>
              <w:spacing w:after="0" w:line="240" w:lineRule="auto"/>
              <w:jc w:val="both"/>
              <w:rPr>
                <w:rFonts w:ascii="Arial" w:hAnsi="Arial" w:eastAsia="Times New Roman" w:cs="Arial"/>
                <w:spacing w:val="-3"/>
                <w:sz w:val="20"/>
                <w:lang w:val="es-ES" w:eastAsia="hi-IN" w:bidi="hi-IN"/>
              </w:rPr>
            </w:pPr>
            <w:r>
              <w:rPr>
                <w:rFonts w:ascii="Arial" w:hAnsi="Arial" w:cs="Arial"/>
                <w:spacing w:val="-3"/>
                <w:sz w:val="20"/>
                <w:lang w:val="es-ES"/>
              </w:rPr>
              <w:t xml:space="preserve">Si el profesional ha sido </w:t>
            </w:r>
            <w:r>
              <w:rPr>
                <w:rFonts w:ascii="Arial" w:hAnsi="Arial" w:cs="Arial"/>
                <w:b/>
                <w:spacing w:val="-3"/>
                <w:sz w:val="20"/>
                <w:lang w:val="es-ES"/>
              </w:rPr>
              <w:t>subcontratista</w:t>
            </w:r>
            <w:r>
              <w:rPr>
                <w:rFonts w:ascii="Arial" w:hAnsi="Arial" w:cs="Arial"/>
                <w:spacing w:val="-3"/>
                <w:sz w:val="20"/>
                <w:lang w:val="es-ES"/>
              </w:rPr>
              <w:t xml:space="preserve"> será reconocida y aceptada por la entidad contratante, siempre y cuando tenga directa relación a las obras señaladas anteriormente. Para su calificación, se considerará el 100% del valor del “subcontrato”. Se justificará esta experiencia presentando el certificado correspondiente emitido por la Entidad contratante de la obra original. El certificado debe contener además el monto ejecutado y la fecha de ejecución. Puede presentarse también el Acta de Entrega - Recepción Definitiva del respectivo subcontrato; solo en el caso de que no se cumpla el tiempo previsto para la obtención de estos documentos (6 meses), se aceptará Actas de Entrega - Recepción Provisional.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b/>
                <w:spacing w:val="-3"/>
                <w:sz w:val="20"/>
                <w:lang w:val="es-ES" w:eastAsia="hi-IN" w:bidi="hi-IN"/>
              </w:rPr>
            </w:pPr>
            <w:r>
              <w:rPr>
                <w:rFonts w:ascii="Arial" w:hAnsi="Arial" w:eastAsia="Times New Roman" w:cs="Arial"/>
                <w:b/>
                <w:spacing w:val="-3"/>
                <w:sz w:val="20"/>
                <w:lang w:val="es-ES" w:eastAsia="hi-IN" w:bidi="hi-IN"/>
              </w:rPr>
              <w:t>Especialista Ambiental (2 puntos )</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 otorgará un punto por cada proyecto de mitigación y control ambiental (al menos uno de ellos en obras viales) en el cual haya participado por un mínimo de tres meses en cada proyecto (máximo 2 puntos. Serán válidos certificados o actas conferidas por autoridad competente; en caso de presentar actas de recepción, éstas deberán ser definitivas, solo en el caso de que no se cumpla el tiempo previsto para la obtención de estos documentos (6 meses), se aceptará Actas de Entrega - Recepción Provisional.</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Serán válidos certificados o actas conferidas por autoridad competente.</w:t>
            </w:r>
          </w:p>
          <w:p>
            <w:pPr>
              <w:tabs>
                <w:tab w:val="left" w:pos="15"/>
              </w:tabs>
              <w:suppressAutoHyphens/>
              <w:spacing w:after="0" w:line="240" w:lineRule="auto"/>
              <w:jc w:val="both"/>
              <w:rPr>
                <w:rFonts w:ascii="Arial" w:hAnsi="Arial" w:eastAsia="Times New Roman" w:cs="Arial"/>
                <w:spacing w:val="-3"/>
                <w:sz w:val="20"/>
                <w:lang w:val="es-ES" w:eastAsia="hi-IN" w:bidi="hi-IN"/>
              </w:rPr>
            </w:pPr>
          </w:p>
          <w:p>
            <w:pPr>
              <w:tabs>
                <w:tab w:val="left" w:pos="15"/>
              </w:tabs>
              <w:suppressAutoHyphens/>
              <w:spacing w:after="0" w:line="240" w:lineRule="auto"/>
              <w:jc w:val="both"/>
              <w:rPr>
                <w:rFonts w:ascii="Arial" w:hAnsi="Arial" w:eastAsia="Times New Roman" w:cs="Arial"/>
                <w:spacing w:val="-3"/>
                <w:sz w:val="20"/>
                <w:lang w:val="es-ES" w:eastAsia="hi-IN" w:bidi="hi-IN"/>
              </w:rPr>
            </w:pPr>
            <w:r>
              <w:rPr>
                <w:rFonts w:ascii="Arial" w:hAnsi="Arial" w:eastAsia="Times New Roman" w:cs="Arial"/>
                <w:spacing w:val="-3"/>
                <w:sz w:val="20"/>
                <w:lang w:val="es-ES" w:eastAsia="hi-IN" w:bidi="hi-IN"/>
              </w:rPr>
              <w:t xml:space="preserve">NO SE CONSIDERARÁ PARA EL PUNTAJE, LA EXPERIENCIA PRESENTADA EN LA ETAPA DE EVALUACIÓN MEDIANTE LA METODOLOGIA DE CHECK LIST </w:t>
            </w:r>
          </w:p>
          <w:p>
            <w:pPr>
              <w:tabs>
                <w:tab w:val="left" w:pos="15"/>
              </w:tabs>
              <w:suppressAutoHyphens/>
              <w:spacing w:after="0" w:line="240" w:lineRule="auto"/>
              <w:jc w:val="both"/>
              <w:rPr>
                <w:rFonts w:ascii="Arial" w:hAnsi="Arial" w:eastAsia="Times New Roman" w:cs="Arial"/>
                <w:spacing w:val="-3"/>
                <w:sz w:val="20"/>
                <w:lang w:val="es-ES"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shd w:val="clear" w:color="auto" w:fill="auto"/>
            <w:vAlign w:val="center"/>
          </w:tcPr>
          <w:p>
            <w:pPr>
              <w:suppressAutoHyphens/>
              <w:spacing w:after="0" w:line="240" w:lineRule="auto"/>
              <w:jc w:val="center"/>
              <w:rPr>
                <w:rFonts w:ascii="Arial" w:hAnsi="Arial" w:eastAsia="Times New Roman" w:cs="Arial"/>
                <w:sz w:val="20"/>
                <w:lang w:eastAsia="hi-IN" w:bidi="hi-IN"/>
              </w:rPr>
            </w:pPr>
            <w:r>
              <w:rPr>
                <w:rFonts w:ascii="Arial" w:hAnsi="Arial" w:eastAsia="Times New Roman" w:cs="Arial"/>
                <w:sz w:val="20"/>
                <w:lang w:eastAsia="hi-IN" w:bidi="hi-IN"/>
              </w:rPr>
              <w:t>Oferta económica</w:t>
            </w:r>
          </w:p>
          <w:p>
            <w:pPr>
              <w:suppressAutoHyphens/>
              <w:spacing w:after="0" w:line="240" w:lineRule="auto"/>
              <w:jc w:val="center"/>
              <w:rPr>
                <w:rFonts w:ascii="Arial" w:hAnsi="Arial" w:eastAsia="Times New Roman" w:cs="Arial"/>
                <w:b/>
                <w:bCs/>
                <w:spacing w:val="-3"/>
                <w:sz w:val="20"/>
                <w:lang w:eastAsia="hi-IN" w:bidi="hi-IN"/>
              </w:rPr>
            </w:pPr>
            <w:r>
              <w:rPr>
                <w:rFonts w:ascii="Arial" w:hAnsi="Arial" w:eastAsia="Times New Roman" w:cs="Arial"/>
                <w:sz w:val="20"/>
                <w:lang w:eastAsia="hi-IN" w:bidi="hi-IN"/>
              </w:rPr>
              <w:t>(55 Puntos)</w:t>
            </w:r>
          </w:p>
        </w:tc>
        <w:tc>
          <w:tcPr>
            <w:tcW w:w="6810" w:type="dxa"/>
            <w:shd w:val="clear" w:color="auto" w:fill="auto"/>
          </w:tcPr>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oferta económica se evaluará sobre un máximo de 55 puntos, aplicando un criterio inversamente proporcional; a menor precio, mayor puntaje. En caso de que existan errores aritméticos en la oferta económica, la Comisión Administrativa de Evaluación y Adjudicación  procederá a su corrección conforme lo previsto en la Resolución expedida por el SERCOP para el efecto.</w:t>
            </w:r>
          </w:p>
          <w:p>
            <w:pPr>
              <w:suppressLineNumbers/>
              <w:suppressAutoHyphens/>
              <w:snapToGrid w:val="0"/>
              <w:spacing w:after="0" w:line="240" w:lineRule="auto"/>
              <w:jc w:val="both"/>
              <w:rPr>
                <w:rFonts w:ascii="Arial" w:hAnsi="Arial" w:eastAsia="Times New Roman" w:cs="Arial"/>
                <w:sz w:val="20"/>
                <w:lang w:eastAsia="hi-IN" w:bidi="hi-IN"/>
              </w:rPr>
            </w:pPr>
          </w:p>
          <w:p>
            <w:pPr>
              <w:suppressLineNumbers/>
              <w:suppressAutoHyphens/>
              <w:snapToGrid w:val="0"/>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La evaluación de la oferta económica se efectuará aplicando el “precio corregido” en caso de que hubiera sido necesario establecerlo, para lo cual se procederá de acuerdo a la Normativa vigente para la Contratación Pública.</w:t>
            </w:r>
          </w:p>
        </w:tc>
      </w:tr>
    </w:tbl>
    <w:p>
      <w:pPr>
        <w:suppressAutoHyphens/>
        <w:spacing w:after="0" w:line="240" w:lineRule="auto"/>
        <w:jc w:val="both"/>
        <w:rPr>
          <w:rFonts w:ascii="Arial" w:hAnsi="Arial" w:eastAsia="Times New Roman" w:cs="Arial"/>
          <w:b/>
          <w:bCs/>
          <w:spacing w:val="-3"/>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Para la valoración se observarán los siguientes criterios:</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tbl>
      <w:tblPr>
        <w:tblStyle w:val="4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Parámetro</w:t>
            </w:r>
          </w:p>
        </w:tc>
        <w:tc>
          <w:tcPr>
            <w:tcW w:w="2763" w:type="dxa"/>
            <w:shd w:val="clear" w:color="auto" w:fill="D9D9D9"/>
          </w:tcPr>
          <w:p>
            <w:pPr>
              <w:suppressAutoHyphens/>
              <w:spacing w:after="0" w:line="240" w:lineRule="auto"/>
              <w:jc w:val="center"/>
              <w:rPr>
                <w:rFonts w:ascii="Arial" w:hAnsi="Arial" w:eastAsia="Times New Roman" w:cs="Arial"/>
                <w:lang w:eastAsia="hi-IN" w:bidi="hi-IN"/>
              </w:rPr>
            </w:pPr>
            <w:r>
              <w:rPr>
                <w:rFonts w:ascii="Arial" w:hAnsi="Arial" w:eastAsia="Times New Roman" w:cs="Arial"/>
                <w:b/>
                <w:bCs/>
                <w:sz w:val="20"/>
                <w:lang w:eastAsia="hi-IN" w:bidi="hi-IN"/>
              </w:rPr>
              <w:t>Valoración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específica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Experiencia del personal técnico</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33" w:type="dxa"/>
            <w:shd w:val="clear" w:color="auto" w:fill="auto"/>
          </w:tcPr>
          <w:p>
            <w:pPr>
              <w:suppressAutoHyphens/>
              <w:spacing w:after="0" w:line="240" w:lineRule="auto"/>
              <w:rPr>
                <w:rFonts w:ascii="Arial" w:hAnsi="Arial" w:eastAsia="Times New Roman" w:cs="Arial"/>
                <w:lang w:eastAsia="hi-IN" w:bidi="hi-IN"/>
              </w:rPr>
            </w:pPr>
            <w:r>
              <w:rPr>
                <w:rFonts w:ascii="Arial" w:hAnsi="Arial" w:eastAsia="Times New Roman" w:cs="Arial"/>
                <w:sz w:val="20"/>
                <w:lang w:eastAsia="hi-IN" w:bidi="hi-IN"/>
              </w:rPr>
              <w:t>Oferta económica</w:t>
            </w:r>
          </w:p>
        </w:tc>
        <w:tc>
          <w:tcPr>
            <w:tcW w:w="2763" w:type="dxa"/>
            <w:shd w:val="clear" w:color="auto" w:fill="auto"/>
          </w:tcPr>
          <w:p>
            <w:pPr>
              <w:suppressAutoHyphens/>
              <w:spacing w:after="0" w:line="240" w:lineRule="auto"/>
              <w:jc w:val="center"/>
              <w:rPr>
                <w:rFonts w:ascii="Arial" w:hAnsi="Arial" w:eastAsia="Times New Roman" w:cs="Arial"/>
                <w:lang w:eastAsia="hi-IN" w:bidi="hi-IN"/>
              </w:rPr>
            </w:pPr>
            <w:r>
              <w:rPr>
                <w:rFonts w:ascii="Arial" w:hAnsi="Arial" w:eastAsia="Times New Roman" w:cs="Arial"/>
                <w:lang w:eastAsia="hi-IN" w:bidi="hi-IN"/>
              </w:rPr>
              <w:t>55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TOTAL</w:t>
            </w:r>
          </w:p>
        </w:tc>
        <w:tc>
          <w:tcPr>
            <w:tcW w:w="2763" w:type="dxa"/>
            <w:shd w:val="clear" w:color="auto" w:fill="D9D9D9"/>
            <w:vAlign w:val="center"/>
          </w:tcPr>
          <w:p>
            <w:pPr>
              <w:suppressAutoHyphens/>
              <w:spacing w:after="0" w:line="240" w:lineRule="auto"/>
              <w:jc w:val="center"/>
              <w:rPr>
                <w:rFonts w:ascii="Arial" w:hAnsi="Arial" w:eastAsia="Times New Roman" w:cs="Arial"/>
                <w:b/>
                <w:lang w:eastAsia="hi-IN" w:bidi="hi-IN"/>
              </w:rPr>
            </w:pPr>
            <w:r>
              <w:rPr>
                <w:rFonts w:ascii="Arial" w:hAnsi="Arial" w:eastAsia="Times New Roman" w:cs="Arial"/>
                <w:b/>
                <w:sz w:val="20"/>
                <w:lang w:eastAsia="hi-IN" w:bidi="hi-IN"/>
              </w:rPr>
              <w:t>100 puntos</w:t>
            </w:r>
          </w:p>
        </w:tc>
      </w:tr>
    </w:tbl>
    <w:p>
      <w:pPr>
        <w:suppressAutoHyphens/>
        <w:spacing w:after="0" w:line="240" w:lineRule="auto"/>
        <w:rPr>
          <w:rFonts w:ascii="Arial" w:hAnsi="Arial" w:eastAsia="Times New Roman" w:cs="Arial"/>
          <w:vanish/>
          <w:szCs w:val="20"/>
          <w:lang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tabs>
          <w:tab w:val="left" w:pos="-540"/>
        </w:tabs>
        <w:suppressAutoHyphens/>
        <w:spacing w:after="0" w:line="240" w:lineRule="auto"/>
        <w:jc w:val="both"/>
        <w:rPr>
          <w:rFonts w:ascii="Arial" w:hAnsi="Arial" w:eastAsia="Times New Roman" w:cs="Arial"/>
          <w:b/>
          <w:spacing w:val="-2"/>
          <w:sz w:val="20"/>
          <w:lang w:val="es-ES" w:eastAsia="hi-IN" w:bidi="hi-IN"/>
        </w:rPr>
      </w:pPr>
    </w:p>
    <w:p>
      <w:pPr>
        <w:spacing w:after="0"/>
        <w:jc w:val="center"/>
        <w:rPr>
          <w:rFonts w:ascii="Arial" w:hAnsi="Arial" w:eastAsia="Times New Roman" w:cs="Arial"/>
          <w:b/>
          <w:spacing w:val="-2"/>
          <w:sz w:val="20"/>
          <w:lang w:eastAsia="hi-IN" w:bidi="hi-IN"/>
        </w:rPr>
      </w:pPr>
    </w:p>
    <w:p>
      <w:pPr>
        <w:spacing w:after="0"/>
        <w:jc w:val="center"/>
        <w:rPr>
          <w:rFonts w:ascii="Arial" w:hAnsi="Arial" w:eastAsia="Times New Roman" w:cs="Arial"/>
          <w:b/>
          <w:spacing w:val="-2"/>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spacing w:after="0"/>
        <w:jc w:val="center"/>
        <w:rPr>
          <w:rFonts w:ascii="Arial" w:hAnsi="Arial" w:eastAsia="Times New Roman" w:cs="Arial"/>
          <w:sz w:val="20"/>
          <w:lang w:eastAsia="hi-IN" w:bidi="hi-IN"/>
        </w:rPr>
      </w:pPr>
    </w:p>
    <w:p>
      <w:pPr>
        <w:tabs>
          <w:tab w:val="left" w:pos="8004"/>
        </w:tabs>
        <w:spacing w:after="0"/>
        <w:rPr>
          <w:rFonts w:ascii="Arial" w:hAnsi="Arial" w:eastAsia="Times New Roman" w:cs="Arial"/>
          <w:sz w:val="20"/>
          <w:lang w:eastAsia="hi-IN" w:bidi="hi-IN"/>
        </w:rPr>
      </w:pPr>
      <w:r>
        <w:rPr>
          <w:rFonts w:ascii="Arial" w:hAnsi="Arial" w:eastAsia="Times New Roman" w:cs="Arial"/>
          <w:sz w:val="20"/>
          <w:lang w:eastAsia="hi-IN" w:bidi="hi-IN"/>
        </w:rPr>
        <w:tab/>
      </w:r>
    </w:p>
    <w:p>
      <w:pPr>
        <w:spacing w:after="0"/>
        <w:jc w:val="center"/>
        <w:rPr>
          <w:rFonts w:ascii="Arial" w:hAnsi="Arial" w:eastAsia="Times New Roman" w:cs="Arial"/>
          <w:b/>
          <w:spacing w:val="-2"/>
          <w:szCs w:val="24"/>
          <w:lang w:eastAsia="hi-IN" w:bidi="hi-IN"/>
        </w:rPr>
      </w:pPr>
      <w:r>
        <w:rPr>
          <w:rFonts w:ascii="Arial" w:hAnsi="Arial" w:eastAsia="Times New Roman" w:cs="Arial"/>
          <w:sz w:val="20"/>
          <w:lang w:eastAsia="hi-IN" w:bidi="hi-IN"/>
        </w:rPr>
        <w:br w:type="page"/>
      </w:r>
      <w:r>
        <w:rPr>
          <w:rFonts w:ascii="Arial" w:hAnsi="Arial" w:eastAsia="Times New Roman" w:cs="Arial"/>
          <w:b/>
          <w:spacing w:val="-2"/>
          <w:szCs w:val="24"/>
          <w:lang w:eastAsia="hi-IN" w:bidi="hi-IN"/>
        </w:rPr>
        <w:t>SECCIÓN V</w:t>
      </w:r>
    </w:p>
    <w:p>
      <w:pPr>
        <w:tabs>
          <w:tab w:val="left" w:pos="-540"/>
        </w:tabs>
        <w:suppressAutoHyphens/>
        <w:spacing w:after="0" w:line="240" w:lineRule="auto"/>
        <w:jc w:val="center"/>
        <w:rPr>
          <w:rFonts w:ascii="Arial" w:hAnsi="Arial" w:eastAsia="Times New Roman" w:cs="Arial"/>
          <w:b/>
          <w:spacing w:val="-2"/>
          <w:szCs w:val="24"/>
          <w:lang w:eastAsia="hi-IN" w:bidi="hi-IN"/>
        </w:rPr>
      </w:pPr>
    </w:p>
    <w:p>
      <w:pPr>
        <w:tabs>
          <w:tab w:val="left" w:pos="-540"/>
        </w:tabs>
        <w:suppressAutoHyphens/>
        <w:spacing w:after="0" w:line="240" w:lineRule="auto"/>
        <w:jc w:val="center"/>
        <w:rPr>
          <w:rFonts w:ascii="Arial" w:hAnsi="Arial" w:eastAsia="Times New Roman" w:cs="Arial"/>
          <w:b/>
          <w:spacing w:val="-2"/>
          <w:szCs w:val="24"/>
          <w:lang w:eastAsia="hi-IN" w:bidi="hi-IN"/>
        </w:rPr>
      </w:pPr>
      <w:r>
        <w:rPr>
          <w:rFonts w:ascii="Arial" w:hAnsi="Arial" w:eastAsia="Times New Roman" w:cs="Arial"/>
          <w:b/>
          <w:spacing w:val="-2"/>
          <w:szCs w:val="24"/>
          <w:lang w:eastAsia="hi-IN" w:bidi="hi-IN"/>
        </w:rPr>
        <w:t>OBLIGACIONES DE LAS PARTES</w:t>
      </w:r>
    </w:p>
    <w:p>
      <w:pPr>
        <w:tabs>
          <w:tab w:val="left" w:pos="-540"/>
        </w:tabs>
        <w:suppressAutoHyphens/>
        <w:spacing w:after="0" w:line="240" w:lineRule="auto"/>
        <w:jc w:val="both"/>
        <w:rPr>
          <w:rFonts w:ascii="Arial" w:hAnsi="Arial" w:eastAsia="Times New Roman" w:cs="Arial"/>
          <w:b/>
          <w:spacing w:val="-2"/>
          <w:sz w:val="20"/>
          <w:lang w:eastAsia="hi-IN" w:bidi="hi-IN"/>
        </w:rPr>
      </w:pPr>
    </w:p>
    <w:p>
      <w:pPr>
        <w:tabs>
          <w:tab w:val="left" w:pos="-54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5.1.</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 xml:space="preserve">Obligaciones del Contratista: </w:t>
      </w:r>
      <w:r>
        <w:rPr>
          <w:rFonts w:ascii="Arial" w:hAnsi="Arial" w:eastAsia="Times New Roman" w:cs="Arial"/>
          <w:sz w:val="20"/>
          <w:lang w:eastAsia="hi-IN" w:bidi="hi-IN"/>
        </w:rPr>
        <w:t xml:space="preserve">El contratista preparará las planillas mensuales, las cuales se pondrán a consideración de la fiscalización en el primer día laborable de cada mes, y serán analizadas y de ser procedente aprobadas por él, en el término de 4 días, luego de lo cual, en forma inmediata, se continuará el trámite de autorización del administrador del contrato y solo con dicha autorización se procederá al pago. </w:t>
      </w:r>
    </w:p>
    <w:p>
      <w:pPr>
        <w:autoSpaceDE w:val="0"/>
        <w:autoSpaceDN w:val="0"/>
        <w:adjustRightInd w:val="0"/>
        <w:spacing w:after="0" w:line="240" w:lineRule="auto"/>
        <w:jc w:val="both"/>
        <w:rPr>
          <w:rFonts w:ascii="Arial" w:hAnsi="Arial" w:eastAsia="Calibri" w:cs="Arial"/>
          <w:sz w:val="20"/>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mes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Obligaciones de la contratante:</w:t>
      </w:r>
    </w:p>
    <w:p>
      <w:pPr>
        <w:tabs>
          <w:tab w:val="left" w:pos="-540"/>
        </w:tabs>
        <w:suppressAutoHyphens/>
        <w:spacing w:after="0" w:line="240" w:lineRule="auto"/>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Dar solución a las peticiones y problemas que se presentaren en la ejecución del contrato, en un plazo de 10 días contados a partir de la petición escrita formulada por el Contratista.</w:t>
      </w:r>
    </w:p>
    <w:p>
      <w:pPr>
        <w:tabs>
          <w:tab w:val="left" w:pos="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Proporcionar al contratista los documentos,  permisos y autorizaciones que se necesiten para la ejecución correcta y legal de la obra, y realizar las gestiones que le corresponda efectuar al contratante, ante los distintos organismos públicos, en un plazo 10 días contados a partir de la petición escrita formulada por el contratista.</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autorizar órdenes de cambio y órdenes de trabajo, a través de las modalidades de costo más porcentaje y aumento de cantidades de obra, respectivamente.</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 caso de ser necesario y previo el trámite legal y administrativo respectivo, celebrar los contratos complementarios.</w:t>
      </w:r>
    </w:p>
    <w:p>
      <w:pPr>
        <w:tabs>
          <w:tab w:val="left" w:pos="-540"/>
        </w:tabs>
        <w:suppressAutoHyphens/>
        <w:spacing w:after="0" w:line="240" w:lineRule="auto"/>
        <w:ind w:left="709" w:hanging="425"/>
        <w:jc w:val="both"/>
        <w:rPr>
          <w:rFonts w:ascii="Arial" w:hAnsi="Arial" w:eastAsia="Times New Roman" w:cs="Arial"/>
          <w:spacing w:val="-2"/>
          <w:sz w:val="20"/>
          <w:lang w:eastAsia="hi-IN" w:bidi="hi-IN"/>
        </w:rPr>
      </w:pPr>
    </w:p>
    <w:p>
      <w:pPr>
        <w:numPr>
          <w:ilvl w:val="0"/>
          <w:numId w:val="9"/>
        </w:numPr>
        <w:tabs>
          <w:tab w:val="left" w:pos="0"/>
        </w:tabs>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Entregar oportunamente y antes del inicio de las obras la vía a intervenir prevista en el contrato, en tales condiciones que el contratista pueda iniciar inmediatamente el desarrollo normal de sus trabajos, siendo de cuenta de la entidad los costos de expropiaciones, indemnizaciones, derechos de paso y otros conceptos similares.</w:t>
      </w:r>
    </w:p>
    <w:p>
      <w:pPr>
        <w:suppressAutoHyphens/>
        <w:spacing w:after="0" w:line="240" w:lineRule="auto"/>
        <w:ind w:left="709" w:hanging="425"/>
        <w:rPr>
          <w:rFonts w:ascii="Arial" w:hAnsi="Arial" w:eastAsia="Times New Roman" w:cs="Arial"/>
          <w:spacing w:val="-2"/>
          <w:sz w:val="20"/>
          <w:lang w:eastAsia="hi-IN" w:bidi="hi-IN"/>
        </w:rPr>
      </w:pPr>
    </w:p>
    <w:p>
      <w:pPr>
        <w:numPr>
          <w:ilvl w:val="0"/>
          <w:numId w:val="10"/>
        </w:numPr>
        <w:suppressAutoHyphens/>
        <w:spacing w:after="0" w:line="240" w:lineRule="auto"/>
        <w:ind w:left="709" w:hanging="42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Suscribir las Actas de Entrega Recepción Parciales, Provisionales y Definitivas de las obras contratadas, siempre que se haya cumplido con lo previsto en la ley para la entrega recepción; y, en general, cumplir con las obligaciones derivadas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540"/>
        </w:tabs>
        <w:suppressAutoHyphens/>
        <w:spacing w:after="0" w:line="240" w:lineRule="auto"/>
        <w:jc w:val="both"/>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5.3.</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Ejecución del contrato:</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b/>
          <w:spacing w:val="-2"/>
          <w:sz w:val="20"/>
          <w:lang w:eastAsia="hi-IN" w:bidi="hi-IN"/>
        </w:rPr>
        <w:t>5.3.1. Inicio, planificación y control de obra:</w:t>
      </w:r>
      <w:r>
        <w:rPr>
          <w:rFonts w:ascii="Arial" w:hAnsi="Arial" w:eastAsia="Times New Roman" w:cs="Arial"/>
          <w:spacing w:val="-2"/>
          <w:sz w:val="20"/>
          <w:lang w:eastAsia="hi-IN" w:bidi="hi-IN"/>
        </w:rPr>
        <w:t xml:space="preserve"> 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w:t>
      </w:r>
    </w:p>
    <w:p>
      <w:pPr>
        <w:autoSpaceDE w:val="0"/>
        <w:autoSpaceDN w:val="0"/>
        <w:adjustRightInd w:val="0"/>
        <w:spacing w:after="0" w:line="240" w:lineRule="auto"/>
        <w:jc w:val="both"/>
        <w:rPr>
          <w:rFonts w:ascii="Arial" w:hAnsi="Arial" w:eastAsia="Calibri" w:cs="Arial"/>
          <w:sz w:val="20"/>
          <w:shd w:val="clear" w:color="auto" w:fill="FFFF00"/>
        </w:rPr>
      </w:pPr>
    </w:p>
    <w:p>
      <w:pPr>
        <w:autoSpaceDE w:val="0"/>
        <w:autoSpaceDN w:val="0"/>
        <w:adjustRightInd w:val="0"/>
        <w:spacing w:after="0" w:line="240" w:lineRule="auto"/>
        <w:jc w:val="both"/>
        <w:rPr>
          <w:rFonts w:ascii="Arial" w:hAnsi="Arial" w:eastAsia="Calibri" w:cs="Arial"/>
          <w:sz w:val="20"/>
          <w:shd w:val="clear" w:color="auto" w:fill="FFFF00"/>
        </w:rPr>
      </w:pPr>
      <w:r>
        <w:rPr>
          <w:rFonts w:ascii="Arial" w:hAnsi="Arial" w:eastAsia="Times New Roman" w:cs="Arial"/>
          <w:sz w:val="20"/>
        </w:rPr>
        <w:t>En las planillas de ejecución de trabajos o avance de obra, se incluirán los resultados de verificación de origen de los componentes y elementos (mano de obra, materiales, equipos y servicios) utilizados para la ejecución de los trabajos a ser planillados, declarado por la Fiscalización con base a la supervisión in situ de los trabajos, las facturas de provisión de materiales y servicios, y formularios de pago de aportes al IESS de la mano de obra.</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0"/>
        </w:tabs>
        <w:suppressAutoHyphens/>
        <w:spacing w:after="0" w:line="240" w:lineRule="auto"/>
        <w:jc w:val="both"/>
        <w:rPr>
          <w:rFonts w:ascii="Arial" w:hAnsi="Arial" w:eastAsia="Times New Roman" w:cs="Arial"/>
          <w:sz w:val="20"/>
          <w:lang w:eastAsia="hi-IN" w:bidi="hi-IN"/>
        </w:rPr>
      </w:pPr>
      <w:r>
        <w:rPr>
          <w:rFonts w:ascii="Arial" w:hAnsi="Arial" w:eastAsia="Times New Roman" w:cs="Arial"/>
          <w:b/>
          <w:spacing w:val="-2"/>
          <w:sz w:val="20"/>
          <w:lang w:eastAsia="hi-IN" w:bidi="hi-IN"/>
        </w:rPr>
        <w:t>5.3.2.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Facturación y reajuste:</w:t>
      </w:r>
      <w:r>
        <w:rPr>
          <w:rFonts w:ascii="Arial" w:hAnsi="Arial" w:eastAsia="Times New Roman" w:cs="Arial"/>
          <w:spacing w:val="-2"/>
          <w:sz w:val="20"/>
          <w:lang w:eastAsia="hi-IN" w:bidi="hi-IN"/>
        </w:rPr>
        <w:t xml:space="preserve"> El contratista preparará las planillas, las cuales se pondrán a consideración de la fiscalización el primer día laborable de cada mes, y serán aprobadas por ella en el término de 4 días, luego de lo cual, en forma inmediata, se continuará el trámite </w:t>
      </w:r>
      <w:r>
        <w:rPr>
          <w:rFonts w:ascii="Arial" w:hAnsi="Arial" w:eastAsia="Times New Roman" w:cs="Arial"/>
          <w:sz w:val="20"/>
          <w:lang w:eastAsia="hi-IN" w:bidi="hi-IN"/>
        </w:rPr>
        <w:t xml:space="preserve">de autorización del administrador del contrato y solo con dicha autorización </w:t>
      </w:r>
      <w:r>
        <w:rPr>
          <w:rFonts w:ascii="Arial" w:hAnsi="Arial" w:eastAsia="Times New Roman" w:cs="Arial"/>
          <w:spacing w:val="-2"/>
          <w:sz w:val="20"/>
          <w:lang w:eastAsia="hi-IN" w:bidi="hi-IN"/>
        </w:rPr>
        <w:t xml:space="preserve">se procederá al pago. </w:t>
      </w:r>
    </w:p>
    <w:p>
      <w:pPr>
        <w:tabs>
          <w:tab w:val="left" w:pos="1584"/>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Estas planillas serán preparadas siguiendo el orden establecido en el Formulario de la Oferta y a cada planilla se adjuntarán los anexos de medidas, ensayos de suelos y materiales, aprobaciones y otros que correspondan.</w:t>
      </w:r>
    </w:p>
    <w:p>
      <w:pPr>
        <w:tabs>
          <w:tab w:val="left" w:pos="1584"/>
        </w:tabs>
        <w:suppressAutoHyphens/>
        <w:spacing w:after="0" w:line="240" w:lineRule="auto"/>
        <w:jc w:val="both"/>
        <w:rPr>
          <w:rFonts w:ascii="Arial" w:hAnsi="Arial" w:eastAsia="Times New Roman" w:cs="Arial"/>
          <w:spacing w:val="-2"/>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hasta el </w:t>
      </w:r>
      <w:r>
        <w:rPr>
          <w:rFonts w:ascii="Arial" w:hAnsi="Arial" w:eastAsia="Times New Roman" w:cs="Arial"/>
          <w:i/>
          <w:iCs/>
          <w:sz w:val="20"/>
          <w:lang w:eastAsia="hi-IN" w:bidi="hi-IN"/>
        </w:rPr>
        <w:t>periodo</w:t>
      </w:r>
      <w:r>
        <w:rPr>
          <w:rFonts w:ascii="Arial" w:hAnsi="Arial" w:eastAsia="Times New Roman" w:cs="Arial"/>
          <w:sz w:val="20"/>
          <w:lang w:eastAsia="hi-IN" w:bidi="hi-IN"/>
        </w:rPr>
        <w:t xml:space="preserve"> anterior, y en el período en consideración,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pPr>
        <w:tabs>
          <w:tab w:val="left" w:pos="-540"/>
        </w:tabs>
        <w:suppressAutoHyphens/>
        <w:spacing w:after="0" w:line="240" w:lineRule="auto"/>
        <w:jc w:val="both"/>
        <w:rPr>
          <w:rFonts w:ascii="Arial" w:hAnsi="Arial" w:eastAsia="Times New Roman" w:cs="Arial"/>
          <w:spacing w:val="-2"/>
          <w:sz w:val="20"/>
          <w:lang w:eastAsia="hi-IN" w:bidi="hi-IN"/>
        </w:rPr>
      </w:pPr>
    </w:p>
    <w:p>
      <w:pPr>
        <w:tabs>
          <w:tab w:val="left" w:pos="1584"/>
        </w:tabs>
        <w:suppressAutoHyphens/>
        <w:spacing w:after="0" w:line="240" w:lineRule="auto"/>
        <w:jc w:val="both"/>
        <w:rPr>
          <w:rFonts w:ascii="Arial" w:hAnsi="Arial" w:eastAsia="Times New Roman" w:cs="Arial"/>
          <w:bCs/>
          <w:spacing w:val="-2"/>
          <w:sz w:val="20"/>
          <w:lang w:eastAsia="hi-IN" w:bidi="hi-IN"/>
        </w:rPr>
      </w:pPr>
      <w:r>
        <w:rPr>
          <w:rFonts w:ascii="Arial" w:hAnsi="Arial" w:eastAsia="Times New Roman" w:cs="Arial"/>
          <w:spacing w:val="-2"/>
          <w:sz w:val="20"/>
          <w:lang w:eastAsia="hi-IN" w:bidi="hi-IN"/>
        </w:rPr>
        <w:t xml:space="preserve">En cada planilla de obra ejecutada, el fiscalizador o la unidad de control de cada obra, calculará el reajuste de precios provisional, aplicando las fórmulas de reajuste que se indican en el contrato. </w:t>
      </w:r>
      <w:r>
        <w:rPr>
          <w:rFonts w:ascii="Arial" w:hAnsi="Arial" w:eastAsia="Times New Roman" w:cs="Arial"/>
          <w:bCs/>
          <w:spacing w:val="-2"/>
          <w:sz w:val="20"/>
          <w:lang w:eastAsia="hi-IN" w:bidi="hi-IN"/>
        </w:rPr>
        <w:t>En el caso de aplicar el reajuste de precios, se establecerá como fecha de partida -sub cero-, la correspondiente a los treinta (30) días anteriores de la fecha límite de presentación de las ofertas.</w:t>
      </w:r>
    </w:p>
    <w:p>
      <w:pPr>
        <w:tabs>
          <w:tab w:val="left" w:pos="-540"/>
        </w:tabs>
        <w:suppressAutoHyphens/>
        <w:spacing w:after="0" w:line="240" w:lineRule="auto"/>
        <w:jc w:val="both"/>
        <w:rPr>
          <w:rFonts w:ascii="Arial" w:hAnsi="Arial" w:eastAsia="Times New Roman" w:cs="Arial"/>
          <w:sz w:val="20"/>
          <w:lang w:eastAsia="hi-IN" w:bidi="hi-IN"/>
        </w:rPr>
      </w:pPr>
    </w:p>
    <w:p>
      <w:pPr>
        <w:suppressAutoHyphens/>
        <w:spacing w:after="0" w:line="240" w:lineRule="auto"/>
        <w:ind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El fiscalizador realizará el reajuste definitivo tan pronto se publiquen los índices del INEC.</w:t>
      </w:r>
    </w:p>
    <w:p>
      <w:pPr>
        <w:rPr>
          <w:rFonts w:ascii="Arial" w:hAnsi="Arial" w:eastAsia="Times New Roman" w:cs="Arial"/>
          <w:spacing w:val="-2"/>
          <w:sz w:val="20"/>
          <w:lang w:eastAsia="hi-IN"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jc w:val="both"/>
        <w:rPr>
          <w:rFonts w:ascii="Arial" w:hAnsi="Arial" w:eastAsia="Times New Roman" w:cs="Arial"/>
          <w:sz w:val="18"/>
          <w:lang w:bidi="hi-IN"/>
        </w:rPr>
      </w:pPr>
    </w:p>
    <w:p>
      <w:pPr>
        <w:spacing w:after="0" w:line="240" w:lineRule="auto"/>
        <w:rPr>
          <w:rFonts w:ascii="Arial" w:hAnsi="Arial" w:eastAsia="Times New Roman" w:cs="Arial"/>
          <w:sz w:val="18"/>
          <w:lang w:bidi="hi-IN"/>
        </w:rPr>
      </w:pPr>
      <w:r>
        <w:rPr>
          <w:rFonts w:ascii="Arial" w:hAnsi="Arial" w:eastAsia="Times New Roman" w:cs="Arial"/>
          <w:sz w:val="18"/>
          <w:lang w:bidi="hi-IN"/>
        </w:rPr>
        <w:br w:type="page"/>
      </w:r>
    </w:p>
    <w:p>
      <w:pPr>
        <w:suppressAutoHyphens/>
        <w:spacing w:after="0" w:line="240" w:lineRule="auto"/>
        <w:rPr>
          <w:rFonts w:ascii="Arial" w:hAnsi="Arial" w:eastAsia="Times New Roman" w:cs="Arial"/>
          <w:vanish/>
          <w:sz w:val="20"/>
          <w:szCs w:val="20"/>
          <w:lang w:eastAsia="hi-IN" w:bidi="hi-IN"/>
        </w:rPr>
      </w:pPr>
    </w:p>
    <w:p>
      <w:pPr>
        <w:suppressAutoHyphens/>
        <w:spacing w:after="0" w:line="240" w:lineRule="auto"/>
        <w:jc w:val="center"/>
        <w:rPr>
          <w:rFonts w:ascii="Arial" w:hAnsi="Arial" w:eastAsia="Times New Roman" w:cs="Arial"/>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Cs w:val="20"/>
          <w:lang w:eastAsia="hi-IN" w:bidi="hi-IN"/>
        </w:rPr>
      </w:pP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PARTE II.  CONDICIONES GENERALES PARA LA CONTRATACIÓN DE OBRAS</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RANGO DE HASTA $ 2, 000,000</w:t>
      </w:r>
    </w:p>
    <w:p>
      <w:pPr>
        <w:pBdr>
          <w:top w:val="single" w:color="auto" w:sz="4" w:space="1"/>
          <w:left w:val="single" w:color="auto" w:sz="4" w:space="4"/>
          <w:bottom w:val="single" w:color="auto" w:sz="4" w:space="13"/>
          <w:right w:val="single" w:color="auto" w:sz="4" w:space="4"/>
        </w:pBdr>
        <w:shd w:val="clear" w:color="auto" w:fill="D9D9D9"/>
        <w:suppressAutoHyphens/>
        <w:spacing w:after="0" w:line="240" w:lineRule="auto"/>
        <w:jc w:val="center"/>
        <w:rPr>
          <w:rFonts w:ascii="Arial" w:hAnsi="Arial" w:eastAsia="Times New Roman" w:cs="Arial"/>
          <w:b/>
          <w:sz w:val="20"/>
          <w:szCs w:val="20"/>
          <w:lang w:val="es-ES" w:eastAsia="hi-IN" w:bidi="hi-IN"/>
        </w:rPr>
      </w:pPr>
      <w:r>
        <w:rPr>
          <w:rFonts w:ascii="Arial" w:hAnsi="Arial" w:eastAsia="Times New Roman" w:cs="Arial"/>
          <w:b/>
          <w:sz w:val="20"/>
          <w:szCs w:val="20"/>
          <w:lang w:val="es-ES" w:eastAsia="hi-IN" w:bidi="hi-IN"/>
        </w:rPr>
        <w:t>ENMARCADAS BAJO FINANCIAMIENTO DE LA CAF</w:t>
      </w:r>
    </w:p>
    <w:p>
      <w:pPr>
        <w:widowControl w:val="0"/>
        <w:suppressAutoHyphens/>
        <w:overflowPunct w:val="0"/>
        <w:autoSpaceDE w:val="0"/>
        <w:spacing w:after="0" w:line="100" w:lineRule="atLeast"/>
        <w:jc w:val="center"/>
        <w:textAlignment w:val="baseline"/>
        <w:rPr>
          <w:rFonts w:ascii="Arial" w:hAnsi="Arial" w:eastAsia="Arial Unicode MS" w:cs="Arial"/>
          <w:b/>
          <w:bCs/>
          <w:sz w:val="20"/>
          <w:lang w:eastAsia="ar-SA"/>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ÍNDICE</w:t>
      </w:r>
    </w:p>
    <w:p>
      <w:pPr>
        <w:suppressAutoHyphens/>
        <w:spacing w:after="0" w:line="240" w:lineRule="auto"/>
        <w:jc w:val="both"/>
        <w:rPr>
          <w:rFonts w:ascii="Arial" w:hAnsi="Arial" w:eastAsia="Times New Roman" w:cs="Arial"/>
          <w:szCs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sz w:val="20"/>
                <w:lang w:eastAsia="hi-IN" w:bidi="hi-IN"/>
              </w:rPr>
              <w:t>SECCIÓN 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DEL PROCEDIMIENTO DE CONTRATACIÓN</w:t>
            </w:r>
          </w:p>
          <w:p>
            <w:pPr>
              <w:suppressAutoHyphens/>
              <w:spacing w:after="0" w:line="240" w:lineRule="auto"/>
              <w:rPr>
                <w:rFonts w:ascii="Arial" w:hAnsi="Arial" w:eastAsia="Times New Roman" w:cs="Arial"/>
                <w:sz w:val="20"/>
                <w:u w:val="single"/>
                <w:lang w:eastAsia="hi-IN" w:bidi="hi-IN"/>
              </w:rPr>
            </w:pP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1.1</w:t>
            </w:r>
            <w:r>
              <w:rPr>
                <w:rFonts w:ascii="Arial" w:hAnsi="Arial" w:eastAsia="Times New Roman" w:cs="Arial"/>
                <w:spacing w:val="-2"/>
                <w:sz w:val="20"/>
                <w:lang w:eastAsia="hi-IN" w:bidi="hi-IN"/>
              </w:rPr>
              <w:tab/>
            </w:r>
            <w:r>
              <w:rPr>
                <w:rFonts w:ascii="Arial" w:hAnsi="Arial" w:eastAsia="Times New Roman" w:cs="Arial"/>
                <w:bCs/>
                <w:sz w:val="20"/>
                <w:lang w:eastAsia="hi-IN" w:bidi="hi-IN"/>
              </w:rPr>
              <w:t>Comisión Técnica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1.2</w:t>
            </w:r>
            <w:r>
              <w:rPr>
                <w:rFonts w:ascii="Arial" w:hAnsi="Arial" w:eastAsia="Times New Roman" w:cs="Arial"/>
                <w:sz w:val="20"/>
                <w:lang w:eastAsia="hi-IN" w:bidi="hi-IN"/>
              </w:rPr>
              <w:tab/>
            </w:r>
            <w:r>
              <w:rPr>
                <w:rFonts w:ascii="Arial" w:hAnsi="Arial" w:eastAsia="Times New Roman" w:cs="Arial"/>
                <w:bCs/>
                <w:spacing w:val="-2"/>
                <w:sz w:val="20"/>
                <w:lang w:eastAsia="hi-IN" w:bidi="hi-IN"/>
              </w:rPr>
              <w:t>Participantes</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1.3</w:t>
            </w:r>
            <w:r>
              <w:rPr>
                <w:rFonts w:ascii="Arial" w:hAnsi="Arial" w:eastAsia="Times New Roman" w:cs="Arial"/>
                <w:bCs/>
                <w:sz w:val="20"/>
                <w:lang w:eastAsia="hi-IN" w:bidi="hi-IN"/>
              </w:rPr>
              <w:tab/>
            </w:r>
            <w:r>
              <w:rPr>
                <w:rFonts w:ascii="Arial" w:hAnsi="Arial" w:eastAsia="Times New Roman" w:cs="Arial"/>
                <w:bCs/>
                <w:sz w:val="20"/>
                <w:lang w:eastAsia="hi-IN" w:bidi="hi-IN"/>
              </w:rPr>
              <w:t xml:space="preserve">Presentación y apertura de ofertas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eastAsia="hi-IN" w:bidi="hi-IN"/>
              </w:rPr>
              <w:t>1.4</w:t>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 xml:space="preserve">Inhabilidades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1.5</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Obligaciones de los oferentes</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 xml:space="preserve">Preguntas, respuestas y aclaraciones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2"/>
                <w:sz w:val="20"/>
                <w:lang w:eastAsia="hi-IN" w:bidi="hi-IN"/>
              </w:rPr>
              <w:t>1.7</w:t>
            </w:r>
            <w:r>
              <w:rPr>
                <w:rFonts w:ascii="Arial" w:hAnsi="Arial" w:eastAsia="Times New Roman" w:cs="Arial"/>
                <w:bCs/>
                <w:spacing w:val="-2"/>
                <w:sz w:val="20"/>
                <w:lang w:eastAsia="hi-IN" w:bidi="hi-IN"/>
              </w:rPr>
              <w:tab/>
            </w:r>
            <w:r>
              <w:rPr>
                <w:rFonts w:ascii="Arial" w:hAnsi="Arial" w:eastAsia="Times New Roman" w:cs="Arial"/>
                <w:bCs/>
                <w:spacing w:val="-2"/>
                <w:sz w:val="20"/>
                <w:lang w:eastAsia="hi-IN" w:bidi="hi-IN"/>
              </w:rPr>
              <w:t>Modificación del pliego</w:t>
            </w:r>
          </w:p>
          <w:p>
            <w:pPr>
              <w:suppressAutoHyphens/>
              <w:spacing w:after="0" w:line="240" w:lineRule="auto"/>
              <w:ind w:left="175"/>
              <w:rPr>
                <w:rFonts w:ascii="Arial" w:hAnsi="Arial" w:eastAsia="Times New Roman" w:cs="Arial"/>
                <w:spacing w:val="-2"/>
                <w:sz w:val="20"/>
                <w:lang w:val="es-ES" w:eastAsia="hi-IN" w:bidi="hi-IN"/>
              </w:rPr>
            </w:pPr>
            <w:r>
              <w:rPr>
                <w:rFonts w:ascii="Arial" w:hAnsi="Arial" w:eastAsia="Times New Roman" w:cs="Arial"/>
                <w:spacing w:val="-2"/>
                <w:sz w:val="20"/>
                <w:lang w:eastAsia="hi-IN" w:bidi="hi-IN"/>
              </w:rPr>
              <w:t>1.8</w:t>
            </w:r>
            <w:r>
              <w:rPr>
                <w:rFonts w:ascii="Arial" w:hAnsi="Arial" w:eastAsia="Times New Roman" w:cs="Arial"/>
                <w:spacing w:val="-2"/>
                <w:sz w:val="20"/>
                <w:lang w:eastAsia="hi-IN" w:bidi="hi-IN"/>
              </w:rPr>
              <w:tab/>
            </w:r>
            <w:r>
              <w:rPr>
                <w:rFonts w:ascii="Arial" w:hAnsi="Arial" w:eastAsia="Times New Roman" w:cs="Arial"/>
                <w:spacing w:val="-2"/>
                <w:sz w:val="20"/>
                <w:lang w:val="es-ES" w:eastAsia="hi-IN" w:bidi="hi-IN"/>
              </w:rPr>
              <w:t>Convalidación de errores de forma</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1.9</w:t>
            </w:r>
            <w:r>
              <w:rPr>
                <w:rFonts w:ascii="Arial" w:hAnsi="Arial" w:eastAsia="Times New Roman" w:cs="Arial"/>
                <w:spacing w:val="-2"/>
                <w:sz w:val="20"/>
                <w:lang w:val="es-ES" w:eastAsia="hi-IN" w:bidi="hi-IN"/>
              </w:rPr>
              <w:tab/>
            </w:r>
            <w:r>
              <w:rPr>
                <w:rFonts w:ascii="Arial" w:hAnsi="Arial" w:eastAsia="Times New Roman" w:cs="Arial"/>
                <w:spacing w:val="-3"/>
                <w:sz w:val="20"/>
                <w:lang w:eastAsia="hi-IN" w:bidi="hi-IN"/>
              </w:rPr>
              <w:t xml:space="preserve">Causas de rechazo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1.10</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 xml:space="preserve">Adjudicación y notificación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3"/>
                <w:sz w:val="20"/>
                <w:lang w:val="es-ES" w:eastAsia="hi-IN" w:bidi="hi-IN"/>
              </w:rPr>
              <w:t>1.11</w:t>
            </w:r>
            <w:r>
              <w:rPr>
                <w:rFonts w:ascii="Arial" w:hAnsi="Arial" w:eastAsia="Times New Roman" w:cs="Arial"/>
                <w:spacing w:val="-3"/>
                <w:sz w:val="20"/>
                <w:lang w:val="es-ES" w:eastAsia="hi-IN" w:bidi="hi-IN"/>
              </w:rPr>
              <w:tab/>
            </w:r>
            <w:r>
              <w:rPr>
                <w:rFonts w:ascii="Arial" w:hAnsi="Arial" w:eastAsia="Times New Roman" w:cs="Arial"/>
                <w:spacing w:val="-3"/>
                <w:sz w:val="20"/>
                <w:lang w:val="es-ES" w:eastAsia="hi-IN" w:bidi="hi-IN"/>
              </w:rPr>
              <w:t xml:space="preserve">Garantías </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bCs/>
                <w:spacing w:val="-3"/>
                <w:sz w:val="20"/>
                <w:lang w:eastAsia="hi-IN" w:bidi="hi-IN"/>
              </w:rPr>
              <w:t>1.12</w:t>
            </w:r>
            <w:r>
              <w:rPr>
                <w:rFonts w:ascii="Arial" w:hAnsi="Arial" w:eastAsia="Times New Roman" w:cs="Arial"/>
                <w:bCs/>
                <w:spacing w:val="-3"/>
                <w:sz w:val="20"/>
                <w:lang w:eastAsia="hi-IN" w:bidi="hi-IN"/>
              </w:rPr>
              <w:tab/>
            </w:r>
            <w:r>
              <w:rPr>
                <w:rFonts w:ascii="Arial" w:hAnsi="Arial" w:eastAsia="Times New Roman" w:cs="Arial"/>
                <w:bCs/>
                <w:spacing w:val="-3"/>
                <w:sz w:val="20"/>
                <w:lang w:eastAsia="hi-IN" w:bidi="hi-IN"/>
              </w:rPr>
              <w:t>Cancelación del procedimiento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pacing w:val="-2"/>
                <w:sz w:val="20"/>
                <w:lang w:val="es-ES" w:eastAsia="hi-IN" w:bidi="hi-IN"/>
              </w:rPr>
              <w:t>1.13</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Suscripción del contrato</w:t>
            </w:r>
          </w:p>
          <w:p>
            <w:pPr>
              <w:suppressAutoHyphens/>
              <w:spacing w:after="0" w:line="240" w:lineRule="auto"/>
              <w:ind w:left="175"/>
              <w:rPr>
                <w:rFonts w:ascii="Arial" w:hAnsi="Arial" w:eastAsia="Times New Roman" w:cs="Arial"/>
                <w:bCs/>
                <w:spacing w:val="-2"/>
                <w:sz w:val="20"/>
                <w:lang w:eastAsia="hi-IN" w:bidi="hi-IN"/>
              </w:rPr>
            </w:pPr>
            <w:r>
              <w:rPr>
                <w:rFonts w:ascii="Arial" w:hAnsi="Arial" w:eastAsia="Times New Roman" w:cs="Arial"/>
                <w:bCs/>
                <w:spacing w:val="-2"/>
                <w:sz w:val="20"/>
                <w:lang w:eastAsia="hi-IN" w:bidi="hi-IN"/>
              </w:rPr>
              <w:t>1.14   Precios unitarios y reajuste</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1.15</w:t>
            </w:r>
            <w:r>
              <w:rPr>
                <w:rFonts w:ascii="Arial" w:hAnsi="Arial" w:eastAsia="Times New Roman" w:cs="Arial"/>
                <w:sz w:val="20"/>
                <w:lang w:eastAsia="hi-IN" w:bidi="hi-IN"/>
              </w:rPr>
              <w:tab/>
            </w:r>
            <w:r>
              <w:rPr>
                <w:rFonts w:ascii="Arial" w:hAnsi="Arial" w:eastAsia="Times New Roman" w:cs="Arial"/>
                <w:bCs/>
                <w:spacing w:val="-2"/>
                <w:sz w:val="20"/>
                <w:lang w:eastAsia="hi-IN" w:bidi="hi-IN"/>
              </w:rPr>
              <w:t>Moneda de cotización y pago</w:t>
            </w:r>
          </w:p>
          <w:p>
            <w:pPr>
              <w:suppressAutoHyphens/>
              <w:spacing w:after="0" w:line="240" w:lineRule="auto"/>
              <w:ind w:left="175"/>
              <w:rPr>
                <w:rFonts w:ascii="Arial" w:hAnsi="Arial" w:eastAsia="Times New Roman" w:cs="Arial"/>
                <w:bCs/>
                <w:sz w:val="20"/>
                <w:lang w:eastAsia="hi-IN" w:bidi="hi-IN"/>
              </w:rPr>
            </w:pPr>
            <w:r>
              <w:rPr>
                <w:rFonts w:ascii="Arial" w:hAnsi="Arial" w:eastAsia="Times New Roman" w:cs="Arial"/>
                <w:bCs/>
                <w:sz w:val="20"/>
                <w:lang w:eastAsia="hi-IN" w:bidi="hi-IN"/>
              </w:rPr>
              <w:t>1.16   Administración del contrato</w:t>
            </w:r>
          </w:p>
          <w:p>
            <w:pPr>
              <w:suppressAutoHyphens/>
              <w:spacing w:after="0" w:line="240" w:lineRule="auto"/>
              <w:ind w:left="175"/>
              <w:rPr>
                <w:rFonts w:ascii="Arial" w:hAnsi="Arial" w:eastAsia="Times New Roman" w:cs="Arial"/>
                <w:sz w:val="20"/>
                <w:lang w:eastAsia="hi-IN" w:bidi="hi-IN"/>
              </w:rPr>
            </w:pPr>
            <w:r>
              <w:rPr>
                <w:rFonts w:ascii="Arial" w:hAnsi="Arial" w:eastAsia="Times New Roman" w:cs="Arial"/>
                <w:sz w:val="20"/>
                <w:lang w:eastAsia="hi-IN" w:bidi="hi-IN"/>
              </w:rPr>
              <w:t>1.17   Fiscalización</w:t>
            </w:r>
          </w:p>
          <w:p>
            <w:pPr>
              <w:suppressAutoHyphens/>
              <w:spacing w:after="0" w:line="240" w:lineRule="auto"/>
              <w:ind w:left="175"/>
              <w:rPr>
                <w:rFonts w:ascii="Arial" w:hAnsi="Arial" w:eastAsia="Times New Roman" w:cs="Arial"/>
                <w:spacing w:val="-2"/>
                <w:sz w:val="20"/>
                <w:lang w:eastAsia="hi-IN" w:bidi="hi-IN"/>
              </w:rPr>
            </w:pPr>
            <w:r>
              <w:rPr>
                <w:rFonts w:ascii="Arial" w:hAnsi="Arial" w:eastAsia="Times New Roman" w:cs="Arial"/>
                <w:spacing w:val="-2"/>
                <w:sz w:val="20"/>
                <w:lang w:eastAsia="hi-IN" w:bidi="hi-IN"/>
              </w:rPr>
              <w:t>1.18</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Control ambiental</w:t>
            </w:r>
          </w:p>
          <w:p>
            <w:pPr>
              <w:suppressAutoHyphens/>
              <w:spacing w:after="0" w:line="240" w:lineRule="auto"/>
              <w:ind w:left="175"/>
              <w:rPr>
                <w:rFonts w:ascii="Arial" w:hAnsi="Arial" w:eastAsia="Times New Roman" w:cs="Arial"/>
                <w:bCs/>
                <w:spacing w:val="-3"/>
                <w:sz w:val="20"/>
                <w:lang w:eastAsia="hi-IN" w:bidi="hi-IN"/>
              </w:rPr>
            </w:pPr>
            <w:r>
              <w:rPr>
                <w:rFonts w:ascii="Arial" w:hAnsi="Arial" w:eastAsia="Times New Roman" w:cs="Arial"/>
                <w:bCs/>
                <w:spacing w:val="-3"/>
                <w:sz w:val="20"/>
                <w:lang w:eastAsia="hi-IN" w:bidi="hi-IN"/>
              </w:rPr>
              <w:t>1.19   Subcontratación</w:t>
            </w:r>
          </w:p>
          <w:p>
            <w:pPr>
              <w:suppressAutoHyphens/>
              <w:spacing w:after="0" w:line="240" w:lineRule="auto"/>
              <w:ind w:left="175"/>
              <w:rPr>
                <w:rFonts w:ascii="Arial" w:hAnsi="Arial" w:eastAsia="Times New Roman" w:cs="Arial"/>
                <w:bCs/>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u w:val="single"/>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bCs/>
                <w:sz w:val="20"/>
                <w:lang w:eastAsia="hi-IN" w:bidi="hi-IN"/>
              </w:rPr>
              <w:t>METODOLOGÍA DE EVALUACIÓN DE LAS OFERTAS</w:t>
            </w:r>
          </w:p>
          <w:p>
            <w:pPr>
              <w:suppressAutoHyphens/>
              <w:spacing w:after="0" w:line="240" w:lineRule="auto"/>
              <w:rPr>
                <w:rFonts w:ascii="Arial" w:hAnsi="Arial" w:eastAsia="Times New Roman" w:cs="Arial"/>
                <w:b/>
                <w:bCs/>
                <w:spacing w:val="-3"/>
                <w:sz w:val="20"/>
                <w:lang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2.1.</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evaluación de las ofertas</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 xml:space="preserve">2.2. </w:t>
            </w:r>
            <w:r>
              <w:rPr>
                <w:rFonts w:ascii="Arial" w:hAnsi="Arial" w:eastAsia="Times New Roman" w:cs="Arial"/>
                <w:bCs/>
                <w:sz w:val="20"/>
                <w:lang w:bidi="hi-IN"/>
              </w:rPr>
              <w:tab/>
            </w:r>
            <w:r>
              <w:rPr>
                <w:rFonts w:ascii="Arial" w:hAnsi="Arial" w:eastAsia="Times New Roman" w:cs="Arial"/>
                <w:bCs/>
                <w:sz w:val="20"/>
                <w:lang w:bidi="hi-IN"/>
              </w:rPr>
              <w:t>Parámetros de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2.3</w:t>
            </w:r>
            <w:r>
              <w:rPr>
                <w:rFonts w:ascii="Arial" w:hAnsi="Arial" w:eastAsia="Times New Roman" w:cs="Arial"/>
                <w:bCs/>
                <w:sz w:val="20"/>
                <w:lang w:bidi="hi-IN"/>
              </w:rPr>
              <w:tab/>
            </w:r>
            <w:r>
              <w:rPr>
                <w:rFonts w:ascii="Arial" w:hAnsi="Arial" w:eastAsia="Times New Roman" w:cs="Arial"/>
                <w:bCs/>
                <w:sz w:val="20"/>
                <w:lang w:bidi="hi-IN"/>
              </w:rPr>
              <w:t>De la evaluación</w:t>
            </w:r>
          </w:p>
          <w:p>
            <w:pPr>
              <w:suppressAutoHyphens/>
              <w:spacing w:after="0" w:line="240" w:lineRule="auto"/>
              <w:ind w:left="176" w:right="45"/>
              <w:jc w:val="both"/>
              <w:rPr>
                <w:rFonts w:ascii="Arial" w:hAnsi="Arial" w:eastAsia="Times New Roman" w:cs="Arial"/>
                <w:bCs/>
                <w:sz w:val="20"/>
                <w:lang w:bidi="hi-IN"/>
              </w:rPr>
            </w:pPr>
            <w:r>
              <w:rPr>
                <w:rFonts w:ascii="Arial" w:hAnsi="Arial" w:eastAsia="Times New Roman" w:cs="Arial"/>
                <w:bCs/>
                <w:sz w:val="20"/>
                <w:lang w:bidi="hi-IN"/>
              </w:rPr>
              <w:t>2.4</w:t>
            </w:r>
            <w:r>
              <w:rPr>
                <w:rFonts w:ascii="Arial" w:hAnsi="Arial" w:eastAsia="Times New Roman" w:cs="Arial"/>
                <w:bCs/>
                <w:sz w:val="20"/>
                <w:lang w:bidi="hi-IN"/>
              </w:rPr>
              <w:tab/>
            </w:r>
            <w:r>
              <w:rPr>
                <w:rFonts w:ascii="Arial" w:hAnsi="Arial" w:eastAsia="Times New Roman" w:cs="Arial"/>
                <w:bCs/>
                <w:sz w:val="20"/>
                <w:lang w:bidi="hi-IN"/>
              </w:rPr>
              <w:t>Índices financieros</w:t>
            </w: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bidi="hi-IN"/>
              </w:rPr>
              <w:t>2.5</w:t>
            </w:r>
            <w:r>
              <w:rPr>
                <w:rFonts w:ascii="Arial" w:hAnsi="Arial" w:eastAsia="Times New Roman" w:cs="Arial"/>
                <w:bCs/>
                <w:sz w:val="20"/>
                <w:lang w:bidi="hi-IN"/>
              </w:rPr>
              <w:tab/>
            </w:r>
            <w:r>
              <w:rPr>
                <w:rFonts w:ascii="Arial" w:hAnsi="Arial" w:eastAsia="Times New Roman" w:cs="Arial"/>
                <w:bCs/>
                <w:sz w:val="20"/>
                <w:lang w:bidi="hi-IN"/>
              </w:rPr>
              <w:t>Formulario para la elaboración de las ofertas</w:t>
            </w:r>
          </w:p>
          <w:p>
            <w:pPr>
              <w:suppressAutoHyphens/>
              <w:spacing w:after="0" w:line="240" w:lineRule="auto"/>
              <w:ind w:left="176"/>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shd w:val="clear" w:color="auto" w:fill="F2F2F2"/>
          </w:tcPr>
          <w:p>
            <w:pPr>
              <w:suppressAutoHyphens/>
              <w:spacing w:after="0" w:line="240" w:lineRule="auto"/>
              <w:jc w:val="center"/>
              <w:rPr>
                <w:rFonts w:ascii="Arial" w:hAnsi="Arial" w:eastAsia="Times New Roman" w:cs="Arial"/>
                <w:b/>
                <w:bCs/>
                <w:sz w:val="20"/>
                <w:lang w:eastAsia="hi-IN" w:bidi="hi-IN"/>
              </w:rPr>
            </w:pPr>
          </w:p>
          <w:p>
            <w:pPr>
              <w:suppressAutoHyphens/>
              <w:spacing w:after="0" w:line="240" w:lineRule="auto"/>
              <w:jc w:val="center"/>
              <w:rPr>
                <w:rFonts w:ascii="Arial" w:hAnsi="Arial" w:eastAsia="Times New Roman" w:cs="Arial"/>
                <w:b/>
                <w:bCs/>
                <w:sz w:val="20"/>
                <w:lang w:eastAsia="hi-IN" w:bidi="hi-IN"/>
              </w:rPr>
            </w:pPr>
            <w:r>
              <w:rPr>
                <w:rFonts w:ascii="Arial" w:hAnsi="Arial" w:eastAsia="Times New Roman" w:cs="Arial"/>
                <w:b/>
                <w:bCs/>
                <w:sz w:val="20"/>
                <w:lang w:eastAsia="hi-IN" w:bidi="hi-IN"/>
              </w:rPr>
              <w:t>SECCIÓN III</w:t>
            </w:r>
          </w:p>
          <w:p>
            <w:pPr>
              <w:suppressAutoHyphens/>
              <w:spacing w:after="0" w:line="240" w:lineRule="auto"/>
              <w:rPr>
                <w:rFonts w:ascii="Arial" w:hAnsi="Arial" w:eastAsia="Times New Roman" w:cs="Arial"/>
                <w:sz w:val="20"/>
                <w:lang w:eastAsia="hi-IN" w:bidi="hi-IN"/>
              </w:rPr>
            </w:pPr>
          </w:p>
        </w:tc>
        <w:tc>
          <w:tcPr>
            <w:tcW w:w="6835" w:type="dxa"/>
            <w:shd w:val="clear" w:color="auto" w:fill="auto"/>
          </w:tcPr>
          <w:p>
            <w:pPr>
              <w:suppressAutoHyphens/>
              <w:spacing w:after="0" w:line="240" w:lineRule="auto"/>
              <w:rPr>
                <w:rFonts w:ascii="Arial" w:hAnsi="Arial" w:eastAsia="Times New Roman" w:cs="Arial"/>
                <w:b/>
                <w:bCs/>
                <w:sz w:val="20"/>
                <w:lang w:eastAsia="hi-IN" w:bidi="hi-IN"/>
              </w:rPr>
            </w:pPr>
          </w:p>
          <w:p>
            <w:pPr>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FASE CONTRACTUAL</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ind w:left="176"/>
              <w:rPr>
                <w:rFonts w:ascii="Arial" w:hAnsi="Arial" w:eastAsia="Times New Roman" w:cs="Arial"/>
                <w:sz w:val="20"/>
                <w:lang w:eastAsia="hi-IN" w:bidi="hi-IN"/>
              </w:rPr>
            </w:pPr>
            <w:r>
              <w:rPr>
                <w:rFonts w:ascii="Arial" w:hAnsi="Arial" w:eastAsia="Times New Roman" w:cs="Arial"/>
                <w:bCs/>
                <w:sz w:val="20"/>
                <w:lang w:eastAsia="hi-IN" w:bidi="hi-IN"/>
              </w:rPr>
              <w:t>3.1   Ejecución del contrato</w:t>
            </w:r>
          </w:p>
        </w:tc>
      </w:tr>
    </w:tbl>
    <w:p>
      <w:pPr>
        <w:widowControl w:val="0"/>
        <w:suppressAutoHyphens/>
        <w:overflowPunct w:val="0"/>
        <w:autoSpaceDE w:val="0"/>
        <w:spacing w:after="0" w:line="100" w:lineRule="atLeast"/>
        <w:jc w:val="center"/>
        <w:textAlignment w:val="baseline"/>
        <w:rPr>
          <w:rFonts w:ascii="Arial" w:hAnsi="Arial" w:eastAsia="Arial Unicode MS" w:cs="Arial"/>
          <w:b/>
          <w:bCs/>
          <w:sz w:val="18"/>
          <w:lang w:eastAsia="ar-SA"/>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 w:val="20"/>
          <w:szCs w:val="20"/>
          <w:lang w:eastAsia="hi-IN" w:bidi="hi-IN"/>
        </w:rPr>
      </w:pP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SECCION I</w:t>
      </w:r>
    </w:p>
    <w:p>
      <w:pPr>
        <w:suppressAutoHyphens/>
        <w:spacing w:after="0" w:line="240" w:lineRule="auto"/>
        <w:jc w:val="center"/>
        <w:rPr>
          <w:rFonts w:ascii="Arial" w:hAnsi="Arial" w:eastAsia="Times New Roman" w:cs="Arial"/>
          <w:b/>
          <w:szCs w:val="20"/>
          <w:lang w:eastAsia="hi-IN" w:bidi="hi-IN"/>
        </w:rPr>
      </w:pPr>
      <w:r>
        <w:rPr>
          <w:rFonts w:ascii="Arial" w:hAnsi="Arial" w:eastAsia="Times New Roman" w:cs="Arial"/>
          <w:b/>
          <w:szCs w:val="20"/>
          <w:lang w:eastAsia="hi-IN" w:bidi="hi-IN"/>
        </w:rPr>
        <w:t>DEL PROCEDIMIENTO DE CONTRATACIÓN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zCs w:val="20"/>
          <w:lang w:bidi="hi-IN"/>
        </w:rPr>
      </w:pPr>
      <w:r>
        <w:rPr>
          <w:rFonts w:ascii="Arial" w:hAnsi="Arial" w:eastAsia="Calibri" w:cs="Arial"/>
          <w:b/>
          <w:szCs w:val="20"/>
          <w:lang w:eastAsia="ar-SA" w:bidi="hi-IN"/>
        </w:rPr>
        <w:t xml:space="preserve">1. Comisión Técnica o Comisión Administrativa de Evaluación y Adjudicación (CAEA),  </w:t>
      </w:r>
      <w:r>
        <w:rPr>
          <w:rFonts w:ascii="Arial" w:hAnsi="Arial" w:eastAsia="Times New Roman" w:cs="Arial"/>
          <w:szCs w:val="20"/>
          <w:lang w:bidi="hi-IN"/>
        </w:rPr>
        <w:t xml:space="preserve">Esta comisión analizará las ofertas técnico – económicas de obras, incluso en el caso de haberse presentado una sola, considerando los parámetros de calificación establecidos en este pliego, y en el </w:t>
      </w:r>
      <w:r>
        <w:rPr>
          <w:rFonts w:ascii="Arial" w:hAnsi="Arial" w:eastAsia="Calibri" w:cs="Arial"/>
          <w:szCs w:val="20"/>
          <w:lang w:eastAsia="ar-SA" w:bidi="hi-IN"/>
        </w:rPr>
        <w:t xml:space="preserve">REGLAMENTO DE ADJUDICACION DE OBRAS Y FISCALIZACION CON RECURSOS CAF PARA EL PROGRAMA BARRIO PARA MEJOR VIVIR FASE II, dicha Comisión, </w:t>
      </w:r>
      <w:r>
        <w:rPr>
          <w:rFonts w:ascii="Arial" w:hAnsi="Arial" w:eastAsia="Times New Roman" w:cs="Arial"/>
          <w:szCs w:val="20"/>
          <w:lang w:bidi="hi-IN"/>
        </w:rPr>
        <w:t xml:space="preserve"> recomendará a la máxima autoridad de la entidad contratante la adjudicación o la declaratoria de procedimiento desierto. La CAEA, de creerlo  conveniente podrá designar la o las subcomisiones de apoyo para el análisis respectivo.</w:t>
      </w:r>
    </w:p>
    <w:p>
      <w:pPr>
        <w:suppressAutoHyphens/>
        <w:spacing w:after="0" w:line="240" w:lineRule="auto"/>
        <w:jc w:val="both"/>
        <w:rPr>
          <w:rFonts w:ascii="Arial" w:hAnsi="Arial" w:eastAsia="Times New Roman" w:cs="Arial"/>
          <w:szCs w:val="20"/>
          <w:lang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 Participantes:</w:t>
      </w:r>
      <w:r>
        <w:rPr>
          <w:rFonts w:ascii="Arial" w:hAnsi="Arial" w:eastAsia="Calibri" w:cs="Arial"/>
          <w:szCs w:val="20"/>
          <w:lang w:eastAsia="ar-SA" w:bidi="hi-IN"/>
        </w:rPr>
        <w:t xml:space="preserve">   De entre los profesionales personas naturales y jurídicas que hayan sido calificados por la Comisión Administrativa de Evaluación y Adjudicación, en apego a las normas establecidas en la Sección Cuarta del REGLAMENTO DE ADJUDICACION DE OBRAS Y FISCALIZACION CON RECURSOS CAF PARA EL PROGRAMA BARRIO PARA MEJOR VIVIR FASE II, precautelando los intereses del GAD Municipal del Cantón Cuenca, la CAEA analizará las propuestas presentadas y someterá a consideración de la Máxima Autoridad para la adjudicación que corresponda.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Para el caso de los participantes que se encuentren calificados dentro del GRUPO 5 Obras de Pavimento Flexible como compromiso de consorcio, deberán nombrar un  procurador común de entre ellos, que actuará a nombre de los comprometidos, adicionalmente el compromiso de asociación o consorcio deberá suscribirse en instrumento público. En caso de ser adjudicado, previo a la firma del contrato, y dentro del término previsto para la firma del mismo; el compromiso de consorcio deberá encontrarse legalmente constituido.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Times New Roman" w:cs="Arial"/>
          <w:spacing w:val="-2"/>
          <w:szCs w:val="20"/>
          <w:lang w:eastAsia="hi-IN" w:bidi="hi-IN"/>
        </w:rPr>
      </w:pPr>
      <w:r>
        <w:rPr>
          <w:rFonts w:ascii="Arial" w:hAnsi="Arial" w:eastAsia="Calibri" w:cs="Arial"/>
          <w:b/>
          <w:szCs w:val="20"/>
          <w:lang w:eastAsia="ar-SA" w:bidi="hi-IN"/>
        </w:rPr>
        <w:t>1.2 Presentación y apertura de ofertas:</w:t>
      </w:r>
      <w:r>
        <w:rPr>
          <w:rFonts w:ascii="Arial" w:hAnsi="Arial" w:eastAsia="Times New Roman" w:cs="Arial"/>
          <w:bCs/>
          <w:szCs w:val="20"/>
          <w:lang w:bidi="hi-IN"/>
        </w:rPr>
        <w:t xml:space="preserve"> La oferta técnica – económica se presentará únicamente por los registrados en este rango, en original y copia debidamente anillada.  Numerada, sumillada y FIRMADA, así como en medio digital (oferta económica) en un sobre único en la Secretaría de la Comisión;</w:t>
      </w:r>
      <w:r>
        <w:rPr>
          <w:rFonts w:ascii="Arial" w:hAnsi="Arial" w:eastAsia="Times New Roman" w:cs="Arial"/>
          <w:spacing w:val="-2"/>
          <w:szCs w:val="20"/>
          <w:lang w:eastAsia="hi-IN" w:bidi="hi-IN"/>
        </w:rPr>
        <w:t xml:space="preserve"> ubicada en la calle Sucre y Benigno Malo (Edificio Municipal) Séptimo Piso, de acuerdo al cronograma establecido en los pliegos.</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i/>
          <w:szCs w:val="20"/>
          <w:lang w:bidi="hi-IN"/>
        </w:rPr>
      </w:pPr>
      <w:r>
        <w:rPr>
          <w:rFonts w:ascii="Arial" w:hAnsi="Arial" w:eastAsia="Times New Roman" w:cs="Arial"/>
          <w:bCs/>
          <w:szCs w:val="20"/>
          <w:lang w:bidi="hi-IN"/>
        </w:rPr>
        <w:t>Para poder participar en el procedimiento, al momento de la presentación de la propuesta, los oferentes interesados deberán encontrarse registrados en este rango.</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Una hora más tarde de aquella fijada como límite para la presentación de las ofertas, se procederá a su apertura. El acto de apertura de ofertas será público y se efectuará en el lugar, día y hora fijados en la convocatoria.</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De la apertura, en la  que podrán estar presentes los oferentes que lo deseen, se levantará un acta que será suscrita por los integrantes de la Comisión de Administrativa de Evaluación y Adjudicación (CAEA), con la siguiente información:</w:t>
      </w:r>
    </w:p>
    <w:p>
      <w:pPr>
        <w:suppressAutoHyphens/>
        <w:spacing w:after="0" w:line="240" w:lineRule="auto"/>
        <w:jc w:val="both"/>
        <w:rPr>
          <w:rFonts w:ascii="Arial" w:hAnsi="Arial" w:eastAsia="Times New Roman" w:cs="Arial"/>
          <w:bCs/>
          <w:szCs w:val="20"/>
          <w:lang w:bidi="hi-IN"/>
        </w:rPr>
      </w:pP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a) Nombre de los oferentes;</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b) Valor de la oferta económica, identificada por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c) Plazo de ejecución propuesto por cada oferente;</w:t>
      </w:r>
    </w:p>
    <w:p>
      <w:pPr>
        <w:suppressAutoHyphens/>
        <w:spacing w:after="0" w:line="240" w:lineRule="auto"/>
        <w:jc w:val="both"/>
        <w:rPr>
          <w:rFonts w:ascii="Arial" w:hAnsi="Arial" w:eastAsia="Times New Roman" w:cs="Arial"/>
          <w:bCs/>
          <w:szCs w:val="20"/>
          <w:lang w:bidi="hi-IN"/>
        </w:rPr>
      </w:pPr>
      <w:r>
        <w:rPr>
          <w:rFonts w:ascii="Arial" w:hAnsi="Arial" w:eastAsia="Times New Roman" w:cs="Arial"/>
          <w:bCs/>
          <w:szCs w:val="20"/>
          <w:lang w:bidi="hi-IN"/>
        </w:rPr>
        <w:t>d) Número de hojas de cada oferta, debidamente sumilladas y/o firmadas.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1.3 Inhabilidades:</w:t>
      </w:r>
      <w:r>
        <w:rPr>
          <w:rFonts w:ascii="Arial" w:hAnsi="Arial" w:eastAsia="Calibri" w:cs="Arial"/>
          <w:szCs w:val="20"/>
          <w:lang w:eastAsia="ar-SA" w:bidi="hi-IN"/>
        </w:rPr>
        <w:t xml:space="preserve"> No podrán ser sujetos de adjudicación los participantes que incurrieren en falta u omisión de algúnrequisito establecido en los pliegos de esta convocatoria; previo a la adjudicación de una obra, la Comisión Administrativa de Evaluación y Adjudicación de creerlo necesario podrá solicitar documentos actualizados, así mismos tendrá la libertar de verificar la veracidad de la documentación presentada por los participantes por cualquier mecanismo legal, esto a fin de precautelar los intereses del GAD Municipal del Cantón Cuenca.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verificarse con posterioridad que un participante incursionó en una inhabilidad, dará lugar a la terminación unilateral del contrato.</w:t>
      </w:r>
    </w:p>
    <w:p>
      <w:pPr>
        <w:suppressAutoHyphens/>
        <w:spacing w:after="0" w:line="240" w:lineRule="auto"/>
        <w:jc w:val="both"/>
        <w:rPr>
          <w:rFonts w:ascii="Arial" w:hAnsi="Arial" w:eastAsia="Calibri" w:cs="Arial"/>
          <w:szCs w:val="20"/>
          <w:lang w:eastAsia="ar-SA" w:bidi="hi-IN"/>
        </w:rPr>
      </w:pPr>
    </w:p>
    <w:p>
      <w:pPr>
        <w:tabs>
          <w:tab w:val="left" w:pos="180"/>
        </w:tabs>
        <w:spacing w:after="0" w:line="240" w:lineRule="auto"/>
        <w:ind w:left="15" w:right="45"/>
        <w:jc w:val="both"/>
        <w:rPr>
          <w:rFonts w:ascii="Arial" w:hAnsi="Arial" w:cs="Arial"/>
          <w:b/>
          <w:spacing w:val="-2"/>
        </w:rPr>
      </w:pPr>
      <w:r>
        <w:rPr>
          <w:rFonts w:ascii="Arial" w:hAnsi="Arial" w:cs="Arial"/>
          <w:b/>
          <w:spacing w:val="-2"/>
        </w:rPr>
        <w:t xml:space="preserve">1.4. Obligaciones de los oferentes: </w:t>
      </w:r>
      <w:r>
        <w:rPr>
          <w:rFonts w:ascii="Arial" w:hAnsi="Arial" w:cs="Arial"/>
          <w:spacing w:val="-2"/>
        </w:rPr>
        <w:t>Los oferentes deberán revisar cuidadosamente los pliegos y cumplir con todos los requisitos solicitados en ellos. Su omisión o descuido al revisar los documentos no le relevará de cumplir lo señalado en su propuesta.</w:t>
      </w:r>
    </w:p>
    <w:p>
      <w:pPr>
        <w:suppressAutoHyphens/>
        <w:spacing w:after="0" w:line="240" w:lineRule="auto"/>
        <w:jc w:val="both"/>
        <w:rPr>
          <w:rFonts w:ascii="Arial" w:hAnsi="Arial" w:eastAsia="Calibri" w:cs="Arial"/>
          <w:szCs w:val="20"/>
          <w:lang w:eastAsia="ar-SA" w:bidi="hi-IN"/>
        </w:rPr>
      </w:pPr>
    </w:p>
    <w:p>
      <w:pPr>
        <w:tabs>
          <w:tab w:val="left" w:pos="0"/>
        </w:tabs>
        <w:spacing w:after="0" w:line="240" w:lineRule="auto"/>
        <w:ind w:right="49"/>
        <w:jc w:val="both"/>
        <w:rPr>
          <w:rFonts w:ascii="Arial" w:hAnsi="Arial" w:cs="Arial"/>
          <w:spacing w:val="-2"/>
        </w:rPr>
      </w:pPr>
      <w:r>
        <w:rPr>
          <w:rFonts w:ascii="Arial" w:hAnsi="Arial" w:cs="Arial"/>
          <w:b/>
          <w:spacing w:val="-2"/>
        </w:rPr>
        <w:t xml:space="preserve">1.5. Preguntas, respuestas y aclaraciones: </w:t>
      </w:r>
      <w:r>
        <w:rPr>
          <w:rFonts w:ascii="Arial" w:hAnsi="Arial" w:cs="Arial"/>
          <w:spacing w:val="-2"/>
        </w:rPr>
        <w:t xml:space="preserve">Todo interesado en presentar propuestas en el procedimiento tiene la facultad y el derecho de, </w:t>
      </w:r>
      <w:r>
        <w:rPr>
          <w:rFonts w:ascii="Arial" w:hAnsi="Arial" w:cs="Arial"/>
          <w:i/>
          <w:spacing w:val="-2"/>
        </w:rPr>
        <w:t>en el caso de detectar un error, omisión o inconsistencia en el pliego, o si necesita una aclaración sobre una parte de los documentos</w:t>
      </w:r>
      <w:r>
        <w:rPr>
          <w:rFonts w:ascii="Arial" w:hAnsi="Arial" w:cs="Arial"/>
          <w:spacing w:val="-2"/>
        </w:rPr>
        <w:t xml:space="preserve">, solicitar a la Comisión Administrativa de Evaluación y Adjudicación, a través del correo electrónico </w:t>
      </w:r>
      <w:r>
        <w:fldChar w:fldCharType="begin"/>
      </w:r>
      <w:r>
        <w:instrText xml:space="preserve"> HYPERLINK "mailto:convocatoriacaf@cuenca.gob.ec" </w:instrText>
      </w:r>
      <w:r>
        <w:fldChar w:fldCharType="separate"/>
      </w:r>
      <w:r>
        <w:rPr>
          <w:rStyle w:val="42"/>
          <w:rFonts w:ascii="Arial" w:hAnsi="Arial" w:cs="Arial"/>
          <w:color w:val="auto"/>
          <w:spacing w:val="-2"/>
        </w:rPr>
        <w:t>convocatoriacaf@cuenca.gob.ec</w:t>
      </w:r>
      <w:r>
        <w:rPr>
          <w:rStyle w:val="42"/>
          <w:rFonts w:ascii="Arial" w:hAnsi="Arial" w:cs="Arial"/>
          <w:color w:val="auto"/>
          <w:spacing w:val="-2"/>
        </w:rPr>
        <w:fldChar w:fldCharType="end"/>
      </w:r>
      <w:r>
        <w:rPr>
          <w:rFonts w:ascii="Arial" w:hAnsi="Arial" w:cs="Arial"/>
          <w:spacing w:val="-2"/>
        </w:rPr>
        <w:t>, la respuesta a su inquietud o consulta. La Entidad responderá las preguntas o realizará las aclaraciones que fueren necesarias a través del mismo medio y publicará el acta de preguntas, respuestas y aclaraciones en la página web de la institución, de acuerdo a lo establecido en la convocatoria.</w:t>
      </w:r>
    </w:p>
    <w:p>
      <w:pPr>
        <w:tabs>
          <w:tab w:val="left" w:pos="0"/>
        </w:tabs>
        <w:spacing w:after="0" w:line="240" w:lineRule="auto"/>
        <w:ind w:right="49"/>
        <w:jc w:val="both"/>
        <w:rPr>
          <w:rFonts w:ascii="Arial" w:hAnsi="Arial" w:cs="Arial"/>
          <w:spacing w:val="-2"/>
        </w:rPr>
      </w:pPr>
    </w:p>
    <w:p>
      <w:pPr>
        <w:tabs>
          <w:tab w:val="left" w:pos="0"/>
          <w:tab w:val="left" w:pos="2520"/>
        </w:tabs>
        <w:spacing w:after="0" w:line="240" w:lineRule="auto"/>
        <w:ind w:right="96"/>
        <w:jc w:val="both"/>
        <w:rPr>
          <w:rStyle w:val="42"/>
          <w:rFonts w:ascii="Arial" w:hAnsi="Arial" w:cs="Arial"/>
          <w:color w:val="auto"/>
        </w:rPr>
      </w:pPr>
      <w:r>
        <w:rPr>
          <w:rFonts w:ascii="Arial" w:hAnsi="Arial" w:cs="Arial"/>
          <w:b/>
          <w:spacing w:val="-2"/>
        </w:rPr>
        <w:t>1.6. Modificación delos pliegos:</w:t>
      </w:r>
      <w:r>
        <w:rPr>
          <w:rFonts w:ascii="Arial" w:hAnsi="Arial" w:cs="Arial"/>
          <w:spacing w:val="-2"/>
        </w:rPr>
        <w:t xml:space="preserve"> La Comisión Administrativa de Evaluación y Adjudicación,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Institucional del GAD Municipal del Cantón Cuenca, previa autorización de CAF.</w:t>
      </w:r>
    </w:p>
    <w:p>
      <w:pPr>
        <w:tabs>
          <w:tab w:val="left" w:pos="180"/>
        </w:tabs>
        <w:spacing w:after="0" w:line="240" w:lineRule="auto"/>
        <w:ind w:right="45"/>
        <w:jc w:val="both"/>
        <w:rPr>
          <w:rFonts w:ascii="Arial" w:hAnsi="Arial" w:cs="Arial"/>
          <w:spacing w:val="-2"/>
          <w:lang w:val="es-ES"/>
        </w:rPr>
      </w:pP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r>
        <w:rPr>
          <w:rFonts w:ascii="Arial" w:hAnsi="Arial" w:eastAsia="Times New Roman" w:cs="Arial"/>
          <w:b/>
          <w:szCs w:val="20"/>
          <w:lang w:eastAsia="hi-IN" w:bidi="hi-IN"/>
        </w:rPr>
        <w:t>1.7 Convalidación de errores de forma:</w:t>
      </w:r>
      <w:r>
        <w:rPr>
          <w:rFonts w:ascii="Arial" w:hAnsi="Arial" w:eastAsia="Times New Roman" w:cs="Arial"/>
          <w:spacing w:val="-2"/>
          <w:szCs w:val="20"/>
          <w:lang w:val="es-ES" w:eastAsia="hi-IN" w:bidi="hi-IN"/>
        </w:rPr>
        <w:t xml:space="preserve"> Si se presentaren errores de forma, los oferentes, en el término previsto en el cronograma  contado a partir de la fecha de notificación, podrán convalidarlos, previa petición de la entidad contratante, conforme a lo previsto en el artículo 11 del Reglamento de Adjudicación de Obras y Fiscalización Financiados con Recursos CAF para el Programa Barrio para Mejor Vivir Fase II y en las resoluciones emitidas por el SERCOP para el efecto.</w:t>
      </w:r>
    </w:p>
    <w:p>
      <w:pPr>
        <w:tabs>
          <w:tab w:val="left" w:pos="180"/>
        </w:tabs>
        <w:suppressAutoHyphens/>
        <w:spacing w:after="0" w:line="240" w:lineRule="auto"/>
        <w:ind w:left="15" w:right="45"/>
        <w:jc w:val="both"/>
        <w:rPr>
          <w:rFonts w:ascii="Arial" w:hAnsi="Arial" w:eastAsia="Times New Roman" w:cs="Arial"/>
          <w:spacing w:val="-2"/>
          <w:szCs w:val="20"/>
          <w:lang w:val="es-ES"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val="es-ES" w:eastAsia="hi-IN" w:bidi="hi-IN"/>
        </w:rPr>
        <w:t>1</w:t>
      </w:r>
      <w:r>
        <w:rPr>
          <w:rFonts w:ascii="Arial" w:hAnsi="Arial" w:eastAsia="Times New Roman" w:cs="Arial"/>
          <w:b/>
          <w:spacing w:val="-3"/>
          <w:szCs w:val="20"/>
          <w:lang w:eastAsia="hi-IN" w:bidi="hi-IN"/>
        </w:rPr>
        <w:t>.8 Causas de rechazo:</w:t>
      </w:r>
      <w:r>
        <w:rPr>
          <w:rFonts w:ascii="Arial" w:hAnsi="Arial" w:eastAsia="Times New Roman" w:cs="Arial"/>
          <w:spacing w:val="-3"/>
          <w:szCs w:val="20"/>
          <w:lang w:eastAsia="hi-IN" w:bidi="hi-IN"/>
        </w:rPr>
        <w:t xml:space="preserve"> Luego de evaluados los documentos de la oferta, la CAEA, podrá rechazar una o más ofertas por las siguientes causas: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 w:val="left" w:pos="3013"/>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1.8.1.</w:t>
      </w:r>
      <w:r>
        <w:rPr>
          <w:rFonts w:ascii="Arial" w:hAnsi="Arial" w:eastAsia="Times New Roman" w:cs="Arial"/>
          <w:spacing w:val="-3"/>
          <w:szCs w:val="20"/>
          <w:lang w:eastAsia="hi-IN" w:bidi="hi-IN"/>
        </w:rPr>
        <w:t xml:space="preserve"> Si no cumpliera todos los requisitos exigidos en las condiciones generales y condiciones particulares delos pliegos.</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1.8.2.</w:t>
      </w:r>
      <w:r>
        <w:rPr>
          <w:rFonts w:ascii="Arial" w:hAnsi="Arial" w:eastAsia="Times New Roman" w:cs="Arial"/>
          <w:spacing w:val="-3"/>
          <w:szCs w:val="20"/>
          <w:lang w:eastAsia="hi-IN" w:bidi="hi-IN"/>
        </w:rPr>
        <w:t xml:space="preserve"> Si se hubiera entregado y/o presentado la oferta en lugar distinto al fijado o después de la hora establecida para ello. </w:t>
      </w:r>
    </w:p>
    <w:p>
      <w:pPr>
        <w:suppressAutoHyphens/>
        <w:spacing w:after="0" w:line="240" w:lineRule="auto"/>
        <w:ind w:left="15" w:right="45"/>
        <w:jc w:val="both"/>
        <w:rPr>
          <w:rFonts w:ascii="Arial" w:hAnsi="Arial" w:eastAsia="Times New Roman" w:cs="Arial"/>
          <w:spacing w:val="-3"/>
          <w:szCs w:val="20"/>
          <w:lang w:eastAsia="hi-IN" w:bidi="hi-IN"/>
        </w:rPr>
      </w:pPr>
    </w:p>
    <w:p>
      <w:pPr>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1.8.3.</w:t>
      </w:r>
      <w:r>
        <w:rPr>
          <w:rFonts w:ascii="Arial" w:hAnsi="Arial" w:eastAsia="Times New Roman" w:cs="Arial"/>
          <w:spacing w:val="-3"/>
          <w:szCs w:val="20"/>
          <w:lang w:eastAsia="hi-IN" w:bidi="hi-IN"/>
        </w:rPr>
        <w:t xml:space="preserve"> Cuando las ofertas contengan errores sustanciales, y/o evidentes, que no puedan ser convalidados, de acuerdo a lo señalado en las resoluciones emitidas por el SERCOP.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1.8.4.</w:t>
      </w:r>
      <w:r>
        <w:rPr>
          <w:rFonts w:ascii="Arial" w:hAnsi="Arial" w:eastAsia="Times New Roman" w:cs="Arial"/>
          <w:spacing w:val="-3"/>
          <w:szCs w:val="20"/>
          <w:lang w:eastAsia="hi-IN" w:bidi="hi-IN"/>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1.8.5.</w:t>
      </w:r>
      <w:r>
        <w:rPr>
          <w:rFonts w:ascii="Arial" w:hAnsi="Arial" w:eastAsia="Times New Roman" w:cs="Arial"/>
          <w:spacing w:val="-3"/>
          <w:szCs w:val="20"/>
          <w:lang w:eastAsia="hi-IN" w:bidi="hi-IN"/>
        </w:rPr>
        <w:t xml:space="preserve"> Si el oferente no hubiere atendido la petición de convalidación, en el término fijado para el efecto, de acuerdo a lo dispuesto en </w:t>
      </w:r>
      <w:r>
        <w:rPr>
          <w:rFonts w:ascii="Arial" w:hAnsi="Arial" w:eastAsia="Times New Roman" w:cs="Arial"/>
          <w:spacing w:val="-2"/>
          <w:szCs w:val="20"/>
          <w:lang w:val="es-ES" w:eastAsia="hi-IN" w:bidi="hi-IN"/>
        </w:rPr>
        <w:t>artículo 11 del Reglamento de Adjudicación de Obras y Fiscalización Financiados con Recursos CAF para el Programa Barrio para Mejor Vivir Fase II,</w:t>
      </w:r>
      <w:r>
        <w:rPr>
          <w:rFonts w:ascii="Arial" w:hAnsi="Arial" w:eastAsia="Times New Roman" w:cs="Arial"/>
          <w:spacing w:val="-3"/>
          <w:szCs w:val="20"/>
          <w:lang w:eastAsia="hi-IN" w:bidi="hi-IN"/>
        </w:rPr>
        <w:t>y en la resolución emitida por el SERCOP, siempre y cuando el error no convalidado constituya causal de rechazo.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b/>
          <w:spacing w:val="-3"/>
          <w:szCs w:val="20"/>
          <w:lang w:eastAsia="hi-IN" w:bidi="hi-IN"/>
        </w:rPr>
        <w:t>1.8.6.</w:t>
      </w:r>
      <w:r>
        <w:rPr>
          <w:rFonts w:ascii="Arial" w:hAnsi="Arial" w:eastAsia="Times New Roman" w:cs="Arial"/>
          <w:spacing w:val="-3"/>
          <w:szCs w:val="20"/>
          <w:lang w:eastAsia="hi-IN" w:bidi="hi-IN"/>
        </w:rPr>
        <w:t xml:space="preserve"> Si </w:t>
      </w:r>
      <w:r>
        <w:rPr>
          <w:rFonts w:ascii="Arial" w:hAnsi="Arial" w:eastAsia="Times New Roman" w:cs="Arial"/>
          <w:bCs/>
          <w:szCs w:val="20"/>
          <w:lang w:bidi="hi-IN"/>
        </w:rPr>
        <w:t>al momento de la presentación de la propuesta, el oferente interesado no se encontrare registrado en este rango.</w:t>
      </w:r>
    </w:p>
    <w:p>
      <w:pPr>
        <w:tabs>
          <w:tab w:val="left" w:pos="2292"/>
        </w:tabs>
        <w:suppressAutoHyphens/>
        <w:spacing w:after="0" w:line="240" w:lineRule="auto"/>
        <w:ind w:left="15" w:right="45"/>
        <w:jc w:val="both"/>
        <w:rPr>
          <w:rFonts w:ascii="Arial" w:hAnsi="Arial" w:eastAsia="Times New Roman" w:cs="Arial"/>
          <w:spacing w:val="-3"/>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Cs w:val="20"/>
          <w:lang w:eastAsia="hi-IN" w:bidi="hi-IN"/>
        </w:rPr>
      </w:pPr>
      <w:r>
        <w:rPr>
          <w:rFonts w:ascii="Arial" w:hAnsi="Arial" w:eastAsia="Times New Roman" w:cs="Arial"/>
          <w:spacing w:val="-3"/>
          <w:szCs w:val="20"/>
          <w:lang w:eastAsia="hi-IN" w:bidi="hi-IN"/>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pPr>
        <w:tabs>
          <w:tab w:val="left" w:pos="4207"/>
        </w:tabs>
        <w:suppressAutoHyphens/>
        <w:spacing w:after="0" w:line="240" w:lineRule="auto"/>
        <w:ind w:left="15" w:right="45"/>
        <w:jc w:val="both"/>
        <w:rPr>
          <w:rFonts w:ascii="Arial" w:hAnsi="Arial" w:eastAsia="Times New Roman" w:cs="Arial"/>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3"/>
          <w:szCs w:val="20"/>
          <w:lang w:eastAsia="hi-IN" w:bidi="hi-IN"/>
        </w:rPr>
        <w:t xml:space="preserve">La adjudicación se circunscribirá a las ofertas calificadas. </w:t>
      </w:r>
      <w:r>
        <w:rPr>
          <w:rFonts w:ascii="Arial" w:hAnsi="Arial" w:eastAsia="Times New Roman" w:cs="Arial"/>
          <w:spacing w:val="-2"/>
          <w:szCs w:val="20"/>
          <w:lang w:eastAsia="hi-IN" w:bidi="hi-IN"/>
        </w:rPr>
        <w:t xml:space="preserve">No se aceptarán ofertas alternativas. </w:t>
      </w: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Cs w:val="20"/>
          <w:lang w:eastAsia="hi-IN" w:bidi="hi-IN"/>
        </w:rPr>
      </w:pPr>
      <w:r>
        <w:rPr>
          <w:rFonts w:ascii="Arial" w:hAnsi="Arial" w:eastAsia="Times New Roman" w:cs="Arial"/>
          <w:spacing w:val="-2"/>
          <w:szCs w:val="20"/>
          <w:lang w:eastAsia="hi-IN" w:bidi="hi-IN"/>
        </w:rPr>
        <w:t>Ningún oferente podrá intervenir con más de una oferta.</w:t>
      </w:r>
    </w:p>
    <w:p>
      <w:pPr>
        <w:tabs>
          <w:tab w:val="left" w:pos="180"/>
        </w:tabs>
        <w:suppressAutoHyphens/>
        <w:spacing w:after="0" w:line="240" w:lineRule="auto"/>
        <w:ind w:left="15" w:right="45"/>
        <w:jc w:val="both"/>
        <w:rPr>
          <w:rFonts w:ascii="Arial" w:hAnsi="Arial" w:eastAsia="Times New Roman" w:cs="Arial"/>
          <w:spacing w:val="-2"/>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1.9. Adjudicación y notificación:</w:t>
      </w:r>
      <w:r>
        <w:rPr>
          <w:rFonts w:ascii="Arial" w:hAnsi="Arial" w:eastAsia="Calibri" w:cs="Arial"/>
          <w:szCs w:val="20"/>
          <w:lang w:eastAsia="ar-SA" w:bidi="hi-IN"/>
        </w:rPr>
        <w:t xml:space="preserve"> La CAEA, luego del análisis correspondiente sugerirá a la Máxima Autoridad del GAD Municipal del cantón Cuenca, la adjudicación del contrato en apego a las normas establecidas.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1.10. Obligaciones de los adjudicatarios</w:t>
      </w:r>
      <w:r>
        <w:rPr>
          <w:rFonts w:ascii="Arial" w:hAnsi="Arial" w:eastAsia="Calibri" w:cs="Arial"/>
          <w:szCs w:val="20"/>
          <w:lang w:eastAsia="ar-SA" w:bidi="hi-IN"/>
        </w:rPr>
        <w:t>: Los adjudicatarios deberán cumplir con todos los requisitos solicitados.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y dentro de los plazos establecidos la ejecución de las obras.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Encontrarse en goce de los derechos de ciudanía.</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 normativa vigente en lo referente a Seguridad Social.</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con las normas de protección ambiental vigentes para el caso.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Cumplir a cabalidad con todas las obligaciones adquiridas en el contrato.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Garantizar la calidad de la obra, de tal manera que se cumplan todos los parámetros y especificaciones técnicas establecidas para el efecto.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El personal técnico propuesto para la ejecución de la obra deberá permanecer en la misma de acuerdo a lo establecido en estos pliegos.</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Se deberá dar fiel cumplimiento al Plan de Monitoreo y Seguimiento Ambiental durante la etapa de construcción para los aspectos: calidad de aire y ruido.</w:t>
      </w:r>
    </w:p>
    <w:p>
      <w:pPr>
        <w:numPr>
          <w:ilvl w:val="0"/>
          <w:numId w:val="11"/>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Presentar informes mensuales, trimestrales y el informe final de cumplimientos ambientales; mismos que deben evaluar la normativa ambiental vigente aplicable al proyecto, de manera adicional al Plan de Manejo Ambiental. Los criterios de evaluación ambiental del cumplimiento deberán regirse a lo establecido en el art. 275 del TULSMA (Acuerdo Ministerial 061 publicado en el Registro oficial No. 316 del 4 de mayo de 2015).</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 Garantías:</w:t>
      </w:r>
      <w:r>
        <w:rPr>
          <w:rFonts w:ascii="Arial" w:hAnsi="Arial" w:eastAsia="Calibri" w:cs="Arial"/>
          <w:szCs w:val="20"/>
          <w:lang w:eastAsia="ar-SA" w:bidi="hi-IN"/>
        </w:rPr>
        <w:t xml:space="preserve"> En forma previa a la suscripción de todo contrato derivado del presente procedimiento, se deberán presentar las siguientes garantías: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1.11.1. Garantía de fiel cumplimiento.-</w:t>
      </w:r>
      <w:r>
        <w:rPr>
          <w:rFonts w:ascii="Arial" w:hAnsi="Arial" w:eastAsia="Calibri" w:cs="Arial"/>
          <w:szCs w:val="20"/>
          <w:lang w:eastAsia="ar-SA" w:bidi="hi-IN"/>
        </w:rPr>
        <w:t xml:space="preserve"> Para seguridad del cumplimiento del contrato y para responder por las obligaciones que contrajeren a favor de terceros, relacionadas con el contrato, el adjudicatario, antes o al momento de la firma del contrato, rendirá una garantía por un monto equivalente al cinco (5%) por ciento del valor de aquel. Esta garantía permitirá  asegurar la debida ejecución de la obra y la buena calidad de los materiales, asegurando con ello las reparaciones o cambios de aquellas partes de la obra en la que se descubran defectos de construcción, mala calidad o incumplimiento de las especificaciones, imputables al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Con cargo a la garantía de fiel cumplimiento se podrá efectivizar las multas que le fueren impuestas al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De conformidad al Art. 74 de la LOSNCP, si la oferta económica corregida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 xml:space="preserve">1.11.2. Garantía por anticipo.- </w:t>
      </w:r>
      <w:r>
        <w:rPr>
          <w:rFonts w:ascii="Arial" w:hAnsi="Arial" w:eastAsia="Calibri" w:cs="Arial"/>
          <w:szCs w:val="20"/>
          <w:lang w:eastAsia="ar-SA" w:bidi="hi-IN"/>
        </w:rPr>
        <w:t>El contratista para recibir el anticipo, deberá rendir previamente garantías por igual valor del anticipo, que se reducirán en la proporción que se vaya amortizando aquél o se reciban provisionalmente las obras. Las cartas de crédito no se considerarán anticipo si su pago está condicionado a la entrega - recepción de los bienes u obras materia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monto del anticipo lo regulará el GAD Municipal del cantón Cuenca, en las condiciones particulares de los procedimientos, el anticipo entregado por la entidad será devengado proporcionalmente al momento del pago de cada planilla hasta la terminación del plazo contractual inicialmente estipulado y constará en el cronograma pertinente que es parte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garantía de fiel cumplimiento se devolverá al momento de la entrega recepción definitiva, real o presunta.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1.11.3 Formas de garantías.-</w:t>
      </w:r>
      <w:r>
        <w:rPr>
          <w:rFonts w:ascii="Arial" w:hAnsi="Arial" w:eastAsia="Calibri" w:cs="Arial"/>
          <w:szCs w:val="20"/>
          <w:lang w:eastAsia="ar-SA" w:bidi="hi-IN"/>
        </w:rPr>
        <w:t xml:space="preserve"> Los contratistas podrán rendir cualquiera de las siguientes garantías:</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Garantía incondicional, irrevocable y de cobro inmediato, otorgada por un banco o institución financiera establecidos en el país o por intermedio de ellos;</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Cuenta podrá requerir los seguros o condiciones de protección para las personas que presten sus servicios en la ejecución de las obras.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1.12 Cancelación del procedimiento:</w:t>
      </w:r>
      <w:r>
        <w:rPr>
          <w:rFonts w:ascii="Arial" w:hAnsi="Arial" w:eastAsia="Calibri" w:cs="Arial"/>
          <w:szCs w:val="20"/>
          <w:lang w:eastAsia="ar-SA" w:bidi="hi-IN"/>
        </w:rPr>
        <w:t xml:space="preserve"> En cualquier momento, la CAEA podrá sugerir a la Máxima Autoridad, la cancelación del o los procedimientos, mediante resolución debidamente motivada.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1.13 Suscripción del contrato:</w:t>
      </w:r>
      <w:r>
        <w:rPr>
          <w:rFonts w:ascii="Arial" w:hAnsi="Arial" w:eastAsia="Calibri" w:cs="Arial"/>
          <w:szCs w:val="20"/>
          <w:lang w:eastAsia="ar-SA" w:bidi="hi-IN"/>
        </w:rPr>
        <w:t xml:space="preserve"> Dentro del término de 15 días, contados a partir de la fecha de notificación de la adjudicación, el contratista estará en la obligación de suscribir el contrato, de no hacerlo, y no presentar justificativos válidos la CAEA, podrá recomendar a la Máxima Autoridad, la declaratoria de Adjudicatario Fallido y sugerirá un nuevo adjudicatario, con base al orden de la puntuación obtenida.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1.14 Precios unitarios y reajuste:</w:t>
      </w:r>
      <w:r>
        <w:rPr>
          <w:rFonts w:ascii="Arial" w:hAnsi="Arial" w:eastAsia="Calibri" w:cs="Arial"/>
          <w:szCs w:val="20"/>
          <w:lang w:eastAsia="ar-SA" w:bidi="hi-IN"/>
        </w:rPr>
        <w:t xml:space="preserve"> Todo contrato cuya forma de pago corresponda al sistema de precios unitarios se sujetará al sistema de reajuste de precios, salvo que el contratista renuncie expresamente al reajuste de precios y así se haga constar en el contrato respectivo.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Las cantidades de obra que constarán en el contrato son estimadas y pueden variar durante la ejecución del mismo.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precios unitarios podrán ser reajustados si durante la ejecución del contrato se produjeren variaciones de los costos de sus componentes. El reajuste se efectuará mediante la aplicación de fórmula(s) elaborada(s) con base a los precios unitarios ofertados.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1.15 Moneda de cotización y pago:</w:t>
      </w:r>
      <w:r>
        <w:rPr>
          <w:rFonts w:ascii="Arial" w:hAnsi="Arial" w:eastAsia="Calibri" w:cs="Arial"/>
          <w:szCs w:val="20"/>
          <w:lang w:eastAsia="ar-SA" w:bidi="hi-IN"/>
        </w:rPr>
        <w:t xml:space="preserve"> los pagos se realizarán en la moneda de circulación oficial en el Ecuador.</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1.16 Administración del contrato:</w:t>
      </w:r>
      <w:r>
        <w:rPr>
          <w:rFonts w:ascii="Arial" w:hAnsi="Arial" w:eastAsia="Calibri" w:cs="Arial"/>
          <w:szCs w:val="20"/>
          <w:lang w:eastAsia="ar-SA" w:bidi="hi-IN"/>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administrador del contrato velará porque la fiscalización actúe de acuerdo con las especificaciones constantes en el presente pliego y en el propio contrato; revisará las planillas aprobadas previas a su autorización para la correspondiente gestión de pago.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1.17 Fiscalización:</w:t>
      </w:r>
      <w:r>
        <w:rPr>
          <w:rFonts w:ascii="Arial" w:hAnsi="Arial" w:eastAsia="Calibri" w:cs="Arial"/>
          <w:szCs w:val="20"/>
          <w:lang w:eastAsia="ar-SA" w:bidi="hi-IN"/>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 sin la justificación técnica correspondiente.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el caso de existir diferencias entre la fiscalización y el contratista, éste último podrá solicitar la intervención del administrador del contrato a fin de que dirima la situación o desavenencia que se hubiera presentado.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1.18 Control ambiental:</w:t>
      </w:r>
      <w:r>
        <w:rPr>
          <w:rFonts w:ascii="Arial" w:hAnsi="Arial" w:eastAsia="Calibri" w:cs="Arial"/>
          <w:szCs w:val="20"/>
          <w:lang w:eastAsia="ar-SA" w:bidi="hi-IN"/>
        </w:rPr>
        <w:t xml:space="preserve"> El contratista deberá realizar todas las actividades constructivas a su cargo, cumpliendo con la normativa ambiental vigente.</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1.19 Subcontratación:</w:t>
      </w:r>
      <w:r>
        <w:rPr>
          <w:rFonts w:ascii="Arial" w:hAnsi="Arial" w:eastAsia="Calibri" w:cs="Arial"/>
          <w:szCs w:val="20"/>
          <w:lang w:eastAsia="ar-SA" w:bidi="hi-IN"/>
        </w:rPr>
        <w:t xml:space="preserve"> El contratista, bajo su riesgo y responsabilidad podrá subcontratar hasta el 30% del monto total de la obra adjudicada, con personas naturales o jurídicas registradas y habilitadas en el RUP, domiciliadas en la localidad o circunscripción geográfica en la que se ejecutará el proyecto, siempre y cuando cuente con la aprobación del administrador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rPr>
          <w:rFonts w:ascii="Arial" w:hAnsi="Arial" w:eastAsia="Calibri" w:cs="Arial"/>
          <w:szCs w:val="20"/>
          <w:lang w:eastAsia="ar-SA" w:bidi="hi-IN"/>
        </w:rPr>
      </w:pPr>
      <w:r>
        <w:rPr>
          <w:rFonts w:ascii="Arial" w:hAnsi="Arial" w:eastAsia="Calibri" w:cs="Arial"/>
          <w:szCs w:val="20"/>
          <w:lang w:eastAsia="ar-SA" w:bidi="hi-IN"/>
        </w:rPr>
        <w:br w:type="page"/>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p>
    <w:p>
      <w:pPr>
        <w:tabs>
          <w:tab w:val="left" w:pos="3510"/>
          <w:tab w:val="center" w:pos="4252"/>
        </w:tabs>
        <w:suppressAutoHyphens/>
        <w:spacing w:after="0" w:line="240" w:lineRule="auto"/>
        <w:rPr>
          <w:rFonts w:ascii="Arial" w:hAnsi="Arial" w:eastAsia="Calibri" w:cs="Arial"/>
          <w:b/>
          <w:szCs w:val="20"/>
          <w:lang w:eastAsia="ar-SA" w:bidi="hi-IN"/>
        </w:rPr>
      </w:pPr>
      <w:r>
        <w:rPr>
          <w:rFonts w:ascii="Arial" w:hAnsi="Arial" w:eastAsia="Calibri" w:cs="Arial"/>
          <w:b/>
          <w:szCs w:val="20"/>
          <w:lang w:eastAsia="ar-SA" w:bidi="hi-IN"/>
        </w:rPr>
        <w:tab/>
      </w:r>
      <w:r>
        <w:rPr>
          <w:rFonts w:ascii="Arial" w:hAnsi="Arial" w:eastAsia="Calibri" w:cs="Arial"/>
          <w:b/>
          <w:szCs w:val="20"/>
          <w:lang w:eastAsia="ar-SA" w:bidi="hi-IN"/>
        </w:rPr>
        <w:tab/>
      </w:r>
      <w:r>
        <w:rPr>
          <w:rFonts w:ascii="Arial" w:hAnsi="Arial" w:eastAsia="Calibri" w:cs="Arial"/>
          <w:b/>
          <w:szCs w:val="20"/>
          <w:lang w:eastAsia="ar-SA" w:bidi="hi-IN"/>
        </w:rPr>
        <w:t>SECCIÓN II</w:t>
      </w:r>
    </w:p>
    <w:p>
      <w:pPr>
        <w:suppressAutoHyphens/>
        <w:spacing w:after="0" w:line="240" w:lineRule="auto"/>
        <w:jc w:val="center"/>
        <w:rPr>
          <w:rFonts w:ascii="Arial" w:hAnsi="Arial" w:eastAsia="Calibri" w:cs="Arial"/>
          <w:b/>
          <w:szCs w:val="20"/>
          <w:lang w:eastAsia="ar-SA" w:bidi="hi-IN"/>
        </w:rPr>
      </w:pPr>
      <w:r>
        <w:rPr>
          <w:rFonts w:ascii="Arial" w:hAnsi="Arial" w:eastAsia="Calibri" w:cs="Arial"/>
          <w:b/>
          <w:szCs w:val="20"/>
          <w:lang w:eastAsia="ar-SA" w:bidi="hi-IN"/>
        </w:rPr>
        <w:t>FASE CONTRACTUAL</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2. 1.</w:t>
      </w:r>
      <w:r>
        <w:rPr>
          <w:rFonts w:ascii="Arial" w:hAnsi="Arial" w:eastAsia="Calibri" w:cs="Arial"/>
          <w:b/>
          <w:szCs w:val="20"/>
          <w:lang w:eastAsia="ar-SA" w:bidi="hi-IN"/>
        </w:rPr>
        <w:tab/>
      </w:r>
      <w:r>
        <w:rPr>
          <w:rFonts w:ascii="Arial" w:hAnsi="Arial" w:eastAsia="Calibri" w:cs="Arial"/>
          <w:b/>
          <w:szCs w:val="20"/>
          <w:lang w:eastAsia="ar-SA" w:bidi="hi-IN"/>
        </w:rPr>
        <w:t>Ejecución del contrato:</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 Inicio, planificación y control de obra:</w:t>
      </w:r>
      <w:r>
        <w:rPr>
          <w:rFonts w:ascii="Arial" w:hAnsi="Arial" w:eastAsia="Calibri" w:cs="Arial"/>
          <w:szCs w:val="20"/>
          <w:lang w:eastAsia="ar-SA" w:bidi="hi-IN"/>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 la fiscalización reprogramará y actualizará el cronograma valorado de trabajos y el programa de uso de personal y equipos.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2.1.2. Cumplimiento de especificaciones:</w:t>
      </w:r>
      <w:r>
        <w:rPr>
          <w:rFonts w:ascii="Arial" w:hAnsi="Arial" w:eastAsia="Calibri" w:cs="Arial"/>
          <w:szCs w:val="20"/>
          <w:lang w:eastAsia="ar-SA" w:bidi="hi-IN"/>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2.1.3. Personal del contratista:</w:t>
      </w:r>
      <w:r>
        <w:rPr>
          <w:rFonts w:ascii="Arial" w:hAnsi="Arial" w:eastAsia="Calibri" w:cs="Arial"/>
          <w:szCs w:val="20"/>
          <w:lang w:eastAsia="ar-SA" w:bidi="hi-IN"/>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2.1.4. Materiales:</w:t>
      </w:r>
      <w:r>
        <w:rPr>
          <w:rFonts w:ascii="Arial" w:hAnsi="Arial" w:eastAsia="Calibri" w:cs="Arial"/>
          <w:szCs w:val="20"/>
          <w:lang w:eastAsia="ar-SA" w:bidi="hi-IN"/>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Los materiales almacenados, aun cuando se haya aprobado antes de su uso, serán revisados al momento de su utilización, para verificar su conformidad con las especificaciones.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2.1.5. Obligaciones del contratista:</w:t>
      </w:r>
      <w:r>
        <w:rPr>
          <w:rFonts w:ascii="Arial" w:hAnsi="Arial" w:eastAsia="Calibri" w:cs="Arial"/>
          <w:szCs w:val="20"/>
          <w:lang w:eastAsia="ar-SA" w:bidi="hi-IN"/>
        </w:rPr>
        <w:t xml:space="preserve"> 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Los sueldos y salarios de los trabajadores del contratista se estipularán libremente, pero no serán inferiores a los mínimos legales vigentes en el país.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Serán también de cuenta del contratista y a su costo, todas las obligaciones a las que está sujeto según las leyes, normas y reglamentos relativos a la seguridad social.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además, deberá notificar a la Entidad Contratante cualquier situación que le justifique la sustitución, reemplazo o cambio de su(s) subcontratista(s).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deberá dar cumplimiento a todas las leyes laborales, ambientales y reglamentos de seguridad industrial y a lo establecido en el Plan de Manejo Ambiental.</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en general, deberá cumplir con todas las obligaciones que naturalmente se desprendan o emanen del contrato suscrito.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2.1.6. Obligaciones de la contratante:</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 al administrador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Designar/contratar a la fiscalización del contrato</w:t>
      </w:r>
    </w:p>
    <w:p>
      <w:pPr>
        <w:numPr>
          <w:ilvl w:val="0"/>
          <w:numId w:val="12"/>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pPr>
        <w:suppressAutoHyphens/>
        <w:spacing w:after="0" w:line="240" w:lineRule="auto"/>
        <w:jc w:val="both"/>
        <w:rPr>
          <w:rFonts w:ascii="Arial" w:hAnsi="Arial" w:eastAsia="Times New Roman" w:cs="Arial"/>
          <w:szCs w:val="20"/>
          <w:lang w:eastAsia="hi-IN"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2.1.7. Vigilancia y custodia:</w:t>
      </w:r>
      <w:r>
        <w:rPr>
          <w:rFonts w:ascii="Arial" w:hAnsi="Arial" w:eastAsia="Calibri" w:cs="Arial"/>
          <w:szCs w:val="20"/>
          <w:lang w:eastAsia="ar-SA" w:bidi="hi-IN"/>
        </w:rPr>
        <w:t xml:space="preserve"> El contratista tiene la obligación de cuidar las obras a él encomendadas hasta la recepción definitiva de las mismas, para lo cual deberá proporcionar el personal y las instalaciones adecuadas.</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2.1.8. Trabajos defectuosos o no autorizados</w:t>
      </w:r>
      <w:r>
        <w:rPr>
          <w:rFonts w:ascii="Arial" w:hAnsi="Arial" w:eastAsia="Calibri" w:cs="Arial"/>
          <w:szCs w:val="20"/>
          <w:lang w:eastAsia="ar-SA" w:bidi="hi-IN"/>
        </w:rPr>
        <w:t>: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2.1.9. Pagos:</w:t>
      </w:r>
      <w:r>
        <w:rPr>
          <w:rFonts w:ascii="Arial" w:hAnsi="Arial" w:eastAsia="Calibri" w:cs="Arial"/>
          <w:szCs w:val="20"/>
          <w:lang w:eastAsia="ar-SA" w:bidi="hi-IN"/>
        </w:rPr>
        <w:t xml:space="preserve"> El trámite de pago seguirá lo estipulado en las cláusulas respectivas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2.1.10. Administrador del Contrato.-</w:t>
      </w:r>
      <w:r>
        <w:rPr>
          <w:rFonts w:ascii="Arial" w:hAnsi="Arial" w:eastAsia="Calibri" w:cs="Arial"/>
          <w:szCs w:val="20"/>
          <w:lang w:eastAsia="ar-SA" w:bidi="hi-IN"/>
        </w:rPr>
        <w:t xml:space="preserve"> El administrador del contrato es el supervisor designado por la máxima autoridad de la Entidad Contratante, o su delegado, responsable de la coordinación y seguimiento de las actividades de construcción y de las acciones del fiscalizador.</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 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administrador/a del contrato tendrá la potestad de dirimir en el caso de existir diferencias de carácter técnico o económico entre el contratista y la fiscalización  respecto de la ejecución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Respecto de su gestión reportará a la máxima autoridad institucional o ante la autoridad prevista en el contrato, debiendo comunicar todos los aspectos operativos, técnicos, económicos y de cualquier naturaleza que pudieren afectar al cumplimiento del objeto del contrato.</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2.1.11 Fiscalizador del Contrato.-</w:t>
      </w:r>
      <w:r>
        <w:rPr>
          <w:rFonts w:ascii="Arial" w:hAnsi="Arial" w:eastAsia="Calibri" w:cs="Arial"/>
          <w:szCs w:val="20"/>
          <w:lang w:eastAsia="ar-SA" w:bidi="hi-IN"/>
        </w:rPr>
        <w:t xml:space="preserve"> El/la fiscalizador/a del contrato será la persona con quien la CONTRATISTA, deberá canalizar y coordinar todas y cada una de las obligaciones contractuales convenidas, así como a los integrantes de la Comisión para la recepción provisional, parcial, total y definitiva del contrato.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El/la Fiscalizador/a será el/la encargado/a de velar por el cabal y oportuno cumplimiento de las normas legales y de todas y cada una de las obligaciones y compromisos contractuales asumidos por parte de la CONTRATISTA.</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 xml:space="preserve">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presentará los informes que le requiera el administrador del contrato o las autoridades respectivas. </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2.2 DE LOS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 xml:space="preserve"> Obras y servicios complementarios.- </w:t>
      </w:r>
      <w:r>
        <w:rPr>
          <w:rFonts w:ascii="Arial" w:hAnsi="Arial" w:eastAsia="Arial Unicode MS" w:cs="Arial"/>
          <w:kern w:val="3"/>
          <w:szCs w:val="20"/>
          <w:lang w:val="es-ES" w:eastAsia="zh-CN" w:bidi="hi-IN"/>
        </w:rPr>
        <w:t>En el caso de que fuere necesario ampliar, modificar o complementar una obra por causas imprevistas o técnicas, debidamente motivadas, presentadas con su ejecución, el GAD Municipal del cantón Cuenca podrá celebrar con el mismo contratista,  contratos complementarios que requiera la atención de las modificaciones antedichas, siempre que se mantengan los precios de los rubros del contrato original, reajustados a la fecha de celebración del respectivo contrato complementario.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Creación de rubros nuevos.-</w:t>
      </w:r>
      <w:r>
        <w:rPr>
          <w:rFonts w:ascii="Arial" w:hAnsi="Arial" w:eastAsia="Arial Unicode MS" w:cs="Arial"/>
          <w:kern w:val="3"/>
          <w:szCs w:val="20"/>
          <w:lang w:val="es-ES" w:eastAsia="zh-CN" w:bidi="hi-IN"/>
        </w:rPr>
        <w:t xml:space="preserve"> Si para la adecuada ejecución de una obra o prestación de un servicio, por motivos técnicos, fuere necesaria la creación de nuevos rubros, podrá celebrarse contratos complementarios.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Para el pago de los rubros nuevos se estará a los precios referenciales actualizados del GAD Municipal del cantón Cuenca, si los tuviere; en caso contrario, se los determinará de mutuo acuerdo entre las partes.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Normas comunes a los contratos complementarios.-</w:t>
      </w:r>
      <w:r>
        <w:rPr>
          <w:rFonts w:ascii="Arial" w:hAnsi="Arial" w:eastAsia="Arial Unicode MS" w:cs="Arial"/>
          <w:kern w:val="3"/>
          <w:szCs w:val="20"/>
          <w:lang w:val="es-ES" w:eastAsia="zh-CN" w:bidi="hi-IN"/>
        </w:rPr>
        <w:t xml:space="preserve"> La suma total de las cuantías de los </w:t>
      </w:r>
      <w:r>
        <w:rPr>
          <w:rFonts w:ascii="Arial" w:hAnsi="Arial" w:eastAsia="Arial Unicode MS" w:cs="Arial"/>
          <w:iCs/>
          <w:kern w:val="3"/>
          <w:szCs w:val="20"/>
          <w:lang w:val="es-ES" w:eastAsia="zh-CN" w:bidi="hi-IN"/>
        </w:rPr>
        <w:t>contratos complementarios no podrá exceder del ocho por ciento (8%) del valor del contrato principal</w:t>
      </w:r>
      <w:r>
        <w:rPr>
          <w:rFonts w:ascii="Arial" w:hAnsi="Arial" w:eastAsia="Arial Unicode MS" w:cs="Arial"/>
          <w:i/>
          <w:iCs/>
          <w:kern w:val="3"/>
          <w:szCs w:val="20"/>
          <w:lang w:val="es-ES" w:eastAsia="zh-CN" w:bidi="hi-IN"/>
        </w:rPr>
        <w:t>.</w:t>
      </w:r>
    </w:p>
    <w:p>
      <w:pPr>
        <w:widowControl w:val="0"/>
        <w:tabs>
          <w:tab w:val="left" w:pos="525"/>
        </w:tabs>
        <w:suppressAutoHyphens/>
        <w:autoSpaceDN w:val="0"/>
        <w:spacing w:before="120" w:after="0" w:line="240" w:lineRule="auto"/>
        <w:ind w:left="-13"/>
        <w:jc w:val="both"/>
        <w:textAlignment w:val="baseline"/>
        <w:rPr>
          <w:rFonts w:ascii="Arial" w:hAnsi="Arial" w:eastAsia="Arial Unicode MS" w:cs="Arial"/>
          <w:kern w:val="3"/>
          <w:szCs w:val="20"/>
          <w:lang w:val="es-ES" w:eastAsia="zh-CN" w:bidi="hi-IN"/>
        </w:rPr>
      </w:pPr>
      <w:r>
        <w:rPr>
          <w:rFonts w:ascii="Arial" w:hAnsi="Arial" w:eastAsia="Arial Unicode MS" w:cs="Arial"/>
          <w:iCs/>
          <w:kern w:val="3"/>
          <w:szCs w:val="20"/>
          <w:lang w:val="es-ES" w:eastAsia="zh-CN" w:bidi="hi-IN"/>
        </w:rPr>
        <w:t>La suma total de los contratos complementarios, órdenes de trabajo y diferencia en cantidades de obra, en ningún caso excederá del quince por ciento (15%) del valor del contrato principal.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El contratista deberá rendir garantías adicionales.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constarán la correspondiente fórmula o fórmulas de reajuste de precios, de ser el caso.</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los contratos complementarios se podrá contemplar el pago de anticipos en la misma proporción prevista en el contrato original.</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En todos los casos, en forma previa a la suscripción de los contratos complementarios, se requerirá la verificación presupuestaria correspondiente, la misma deberá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Diferencia en cantidades de obra.</w:t>
      </w:r>
      <w:r>
        <w:rPr>
          <w:rFonts w:ascii="Arial" w:hAnsi="Arial" w:eastAsia="Arial Unicode MS" w:cs="Arial"/>
          <w:kern w:val="3"/>
          <w:szCs w:val="20"/>
          <w:lang w:val="es-ES" w:eastAsia="zh-CN" w:bidi="hi-IN"/>
        </w:rPr>
        <w:t xml:space="preserve">- Si al ejecpublutarse la obra de acuerdo con los planos y especificaciones del contrato se establecieren diferencias entre las cantidades reales y las que constan en el cuadro de cantidades estimadas en el contrato, la entidad podrá ordenar y pagar directamente sin necesidad de contrato complementario, hasta el cinco (5%) por ciento del valor del contrato, siempre que no se modifique el objeto contractual. A este efecto, bastará dejar constancia del cambio en un documento suscrito por las partes.  </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Ordenes de trabajo.-</w:t>
      </w:r>
      <w:r>
        <w:rPr>
          <w:rFonts w:ascii="Arial" w:hAnsi="Arial" w:eastAsia="Arial Unicode MS" w:cs="Arial"/>
          <w:kern w:val="3"/>
          <w:szCs w:val="20"/>
          <w:lang w:val="es-ES" w:eastAsia="zh-CN" w:bidi="hi-IN"/>
        </w:rPr>
        <w:t xml:space="preserve"> El GAD Municipal del cantón Cuenca podrá disponer, durante la ejecución de la obra, hasta del dos por ciento (2%) del valor del contrato principal, para la realización de rubros nuevos, mediante órdenes de trabajo y empleando la modalidad de costo más porcentaje. En todo caso, los recursos deberán estar enmarcadas BAJO FINANCIAMIENTO DE LA CAF, y deberá contar con la debida certificación de disponibilidad de fondos.</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kern w:val="3"/>
          <w:szCs w:val="20"/>
          <w:lang w:val="es-ES" w:eastAsia="zh-CN" w:bidi="hi-IN"/>
        </w:rPr>
        <w:t>Las órdenes de trabajo contendrán las firmas de las partes y de la fiscalización.</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r>
        <w:rPr>
          <w:rFonts w:ascii="Arial" w:hAnsi="Arial" w:eastAsia="Arial Unicode MS" w:cs="Arial"/>
          <w:b/>
          <w:bCs/>
          <w:kern w:val="3"/>
          <w:szCs w:val="20"/>
          <w:lang w:val="es-ES" w:eastAsia="zh-CN" w:bidi="hi-IN"/>
        </w:rPr>
        <w:t>Certificación de recursos.-</w:t>
      </w:r>
      <w:r>
        <w:rPr>
          <w:rFonts w:ascii="Arial" w:hAnsi="Arial" w:eastAsia="Arial Unicode MS" w:cs="Arial"/>
          <w:kern w:val="3"/>
          <w:szCs w:val="20"/>
          <w:lang w:val="es-ES" w:eastAsia="zh-CN" w:bidi="hi-IN"/>
        </w:rPr>
        <w:t xml:space="preserve"> Para todos aquellos casos en que la Entidad Contratante decida contraer obligaciones de erogación de recursos por efecto de contratos complementarios, obras adicionales u órdenes de trabajo, de manera previa a su autorización deberá contarse con la respectiva certificación de existencia de recursos para satisfacer tales obligaciones y deberán estar enmarcadas BAJO FINANCIAMIENTO DE LA CAF.</w:t>
      </w:r>
    </w:p>
    <w:p>
      <w:pPr>
        <w:widowControl w:val="0"/>
        <w:suppressAutoHyphens/>
        <w:autoSpaceDN w:val="0"/>
        <w:spacing w:before="120" w:after="0" w:line="240" w:lineRule="auto"/>
        <w:ind w:right="38"/>
        <w:jc w:val="both"/>
        <w:textAlignment w:val="baseline"/>
        <w:rPr>
          <w:rFonts w:ascii="Arial" w:hAnsi="Arial" w:eastAsia="Arial Unicode MS" w:cs="Arial"/>
          <w:kern w:val="3"/>
          <w:szCs w:val="20"/>
          <w:lang w:val="es-ES" w:eastAsia="zh-CN" w:bidi="hi-IN"/>
        </w:rPr>
      </w:pPr>
    </w:p>
    <w:p>
      <w:pPr>
        <w:suppressAutoHyphens/>
        <w:spacing w:after="0" w:line="240" w:lineRule="auto"/>
        <w:jc w:val="both"/>
        <w:rPr>
          <w:rFonts w:ascii="Arial" w:hAnsi="Arial" w:eastAsia="Calibri" w:cs="Arial"/>
          <w:b/>
          <w:szCs w:val="20"/>
          <w:lang w:eastAsia="ar-SA" w:bidi="hi-IN"/>
        </w:rPr>
      </w:pPr>
      <w:r>
        <w:rPr>
          <w:rFonts w:ascii="Arial" w:hAnsi="Arial" w:eastAsia="Calibri" w:cs="Arial"/>
          <w:b/>
          <w:szCs w:val="20"/>
          <w:lang w:eastAsia="ar-SA" w:bidi="hi-IN"/>
        </w:rPr>
        <w:t>2.3 DE LA TERMINACIÓN DE LOS CONTRATOS</w:t>
      </w:r>
    </w:p>
    <w:p>
      <w:pPr>
        <w:suppressAutoHyphens/>
        <w:spacing w:after="0" w:line="240" w:lineRule="auto"/>
        <w:jc w:val="both"/>
        <w:rPr>
          <w:rFonts w:ascii="Arial" w:hAnsi="Arial" w:eastAsia="Calibri" w:cs="Arial"/>
          <w:b/>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de los contratos.-</w:t>
      </w:r>
      <w:r>
        <w:rPr>
          <w:rFonts w:ascii="Arial" w:hAnsi="Arial" w:eastAsia="Calibri" w:cs="Arial"/>
          <w:szCs w:val="20"/>
          <w:lang w:eastAsia="ar-SA" w:bidi="hi-IN"/>
        </w:rPr>
        <w:t xml:space="preserve"> Los contratos terminan:</w:t>
      </w:r>
    </w:p>
    <w:p>
      <w:pPr>
        <w:suppressAutoHyphens/>
        <w:spacing w:after="0" w:line="240" w:lineRule="auto"/>
        <w:jc w:val="both"/>
        <w:rPr>
          <w:rFonts w:ascii="Arial" w:hAnsi="Arial" w:eastAsia="Calibri" w:cs="Arial"/>
          <w:szCs w:val="20"/>
          <w:lang w:eastAsia="ar-SA" w:bidi="hi-IN"/>
        </w:rPr>
      </w:pP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cumplimiento de las obligaciones contractuales;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mutuo acuerdo de las partes;</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declaración unilateral del contratante, en caso de incumplimiento del contratista; y,</w:t>
      </w:r>
    </w:p>
    <w:p>
      <w:pPr>
        <w:numPr>
          <w:ilvl w:val="0"/>
          <w:numId w:val="13"/>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muerte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por mutuo acuerdo.-</w:t>
      </w:r>
      <w:r>
        <w:rPr>
          <w:rFonts w:ascii="Arial" w:hAnsi="Arial" w:eastAsia="Calibri" w:cs="Arial"/>
          <w:szCs w:val="20"/>
          <w:lang w:eastAsia="ar-SA" w:bidi="hi-IN"/>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La terminación por mutuo acuerdo no implicará renuncia a derechos causados o adquiridos en favor de la Entidad Contratante o del contratista.</w:t>
      </w:r>
    </w:p>
    <w:p>
      <w:pPr>
        <w:suppressAutoHyphens/>
        <w:spacing w:after="0" w:line="240" w:lineRule="auto"/>
        <w:jc w:val="both"/>
        <w:rPr>
          <w:rFonts w:ascii="Arial" w:hAnsi="Arial" w:eastAsia="Calibri" w:cs="Arial"/>
          <w:szCs w:val="20"/>
          <w:lang w:eastAsia="ar-SA" w:bidi="hi-IN"/>
        </w:rPr>
      </w:pPr>
    </w:p>
    <w:p>
      <w:pPr>
        <w:suppressAutoHyphens/>
        <w:spacing w:after="0" w:line="240" w:lineRule="auto"/>
        <w:jc w:val="both"/>
        <w:rPr>
          <w:rFonts w:ascii="Arial" w:hAnsi="Arial" w:eastAsia="Calibri" w:cs="Arial"/>
          <w:szCs w:val="20"/>
          <w:lang w:eastAsia="ar-SA" w:bidi="hi-IN"/>
        </w:rPr>
      </w:pPr>
      <w:r>
        <w:rPr>
          <w:rFonts w:ascii="Arial" w:hAnsi="Arial" w:eastAsia="Calibri" w:cs="Arial"/>
          <w:b/>
          <w:szCs w:val="20"/>
          <w:lang w:eastAsia="ar-SA" w:bidi="hi-IN"/>
        </w:rPr>
        <w:t>Terminación unilateral del contrato.-</w:t>
      </w:r>
      <w:r>
        <w:rPr>
          <w:rFonts w:ascii="Arial" w:hAnsi="Arial" w:eastAsia="Calibri" w:cs="Arial"/>
          <w:szCs w:val="20"/>
          <w:lang w:eastAsia="ar-SA" w:bidi="hi-IN"/>
        </w:rPr>
        <w:t xml:space="preserve"> El GAD Municipal del Cantón Cuenca podrá declarar terminada anticipada y unilateralmente los contratos, en los siguientes casos:</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incumplimiento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quiebra o insolvencia del contratista;</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Si el valor de las multas supera el monto de la garantía de fiel cumplimiento del contrato;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suspensión de los trabajos, por decisión del contratista, por más de sesenta (60) días, sin que medie fuerza mayor o caso fortuito;</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Por haberse celebrado contratos contra expresa prohibición del REGLAMENTO DE ADJUDICACION DE OBRAS Y FISCALIZACION CON RECURSOS CAF PARA EL PROGRAMA BARRIO PARA MEJOR VIVIR FASE II;</w:t>
      </w:r>
    </w:p>
    <w:p>
      <w:pPr>
        <w:numPr>
          <w:ilvl w:val="0"/>
          <w:numId w:val="14"/>
        </w:numPr>
        <w:suppressAutoHyphens/>
        <w:spacing w:after="0" w:line="240" w:lineRule="auto"/>
        <w:jc w:val="both"/>
        <w:rPr>
          <w:rFonts w:ascii="Arial" w:hAnsi="Arial" w:eastAsia="Times New Roman" w:cs="Arial"/>
          <w:szCs w:val="20"/>
          <w:lang w:eastAsia="hi-IN" w:bidi="hi-IN"/>
        </w:rPr>
      </w:pPr>
      <w:r>
        <w:rPr>
          <w:rFonts w:ascii="Arial" w:hAnsi="Arial" w:eastAsia="Times New Roman" w:cs="Arial"/>
          <w:szCs w:val="20"/>
          <w:lang w:eastAsia="hi-IN" w:bidi="hi-IN"/>
        </w:rPr>
        <w:t>En los demás casos estipulados en el contrato, de acuerdo con su naturaleza; y,</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El GAD Municipal del Cantón Cuenca también podrá declarar terminado anticipada y unilateralmente el contrato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pPr>
        <w:suppressAutoHyphens/>
        <w:spacing w:after="0" w:line="240" w:lineRule="auto"/>
        <w:jc w:val="both"/>
        <w:rPr>
          <w:rFonts w:ascii="Arial" w:hAnsi="Arial" w:eastAsia="Calibri" w:cs="Arial"/>
          <w:szCs w:val="20"/>
          <w:lang w:eastAsia="ar-SA" w:bidi="hi-IN"/>
        </w:rPr>
      </w:pPr>
      <w:r>
        <w:rPr>
          <w:rFonts w:ascii="Arial" w:hAnsi="Arial" w:eastAsia="Calibri" w:cs="Arial"/>
          <w:szCs w:val="20"/>
          <w:lang w:eastAsia="ar-SA" w:bidi="hi-IN"/>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pPr>
        <w:spacing w:after="0" w:line="240" w:lineRule="auto"/>
        <w:jc w:val="center"/>
        <w:rPr>
          <w:rFonts w:ascii="Arial" w:hAnsi="Arial" w:eastAsia="Times New Roman" w:cs="Arial"/>
          <w:b/>
          <w:bCs/>
          <w:sz w:val="20"/>
          <w:lang w:bidi="hi-IN"/>
        </w:rPr>
      </w:pPr>
      <w:r>
        <w:rPr>
          <w:rFonts w:ascii="Arial" w:hAnsi="Arial" w:eastAsia="Times New Roman" w:cs="Arial"/>
          <w:sz w:val="20"/>
          <w:lang w:bidi="hi-IN"/>
        </w:rPr>
        <w:br w:type="page"/>
      </w:r>
      <w:r>
        <w:rPr>
          <w:rFonts w:ascii="Arial" w:hAnsi="Arial" w:eastAsia="Times New Roman" w:cs="Arial"/>
          <w:b/>
          <w:bCs/>
          <w:sz w:val="20"/>
          <w:lang w:bidi="hi-IN"/>
        </w:rPr>
        <w:t>PARTE III.  FORMULARIOS DE LICITACIÓN PÚBLICA DE OBRAS</w:t>
      </w:r>
    </w:p>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INDICE</w:t>
      </w:r>
    </w:p>
    <w:p>
      <w:pPr>
        <w:suppressAutoHyphens/>
        <w:spacing w:after="0" w:line="240" w:lineRule="auto"/>
        <w:jc w:val="center"/>
        <w:rPr>
          <w:rFonts w:ascii="Arial" w:hAnsi="Arial" w:eastAsia="Times New Roman" w:cs="Arial"/>
          <w:sz w:val="20"/>
          <w:lang w:eastAsia="hi-IN" w:bidi="hi-IN"/>
        </w:rPr>
      </w:pPr>
    </w:p>
    <w:tbl>
      <w:tblPr>
        <w:tblStyle w:val="4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sz w:val="20"/>
                <w:lang w:eastAsia="hi-IN" w:bidi="hi-IN"/>
              </w:rPr>
              <w:t>SECCIÓN I</w:t>
            </w:r>
          </w:p>
        </w:tc>
        <w:tc>
          <w:tcPr>
            <w:tcW w:w="7513" w:type="dxa"/>
            <w:shd w:val="clear" w:color="auto" w:fill="auto"/>
          </w:tcPr>
          <w:p>
            <w:pPr>
              <w:suppressAutoHyphens/>
              <w:spacing w:after="0" w:line="240" w:lineRule="auto"/>
              <w:rPr>
                <w:rFonts w:ascii="Arial" w:hAnsi="Arial" w:eastAsia="Times New Roman" w:cs="Arial"/>
                <w:b/>
                <w:sz w:val="20"/>
                <w:lang w:eastAsia="hi-IN"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LA OFERTA</w:t>
            </w:r>
          </w:p>
          <w:p>
            <w:pPr>
              <w:suppressAutoHyphens/>
              <w:spacing w:after="0" w:line="240" w:lineRule="auto"/>
              <w:rPr>
                <w:rFonts w:ascii="Arial" w:hAnsi="Arial" w:eastAsia="Times New Roman" w:cs="Arial"/>
                <w:b/>
                <w:bCs/>
                <w:sz w:val="20"/>
                <w:lang w:bidi="hi-IN"/>
              </w:rPr>
            </w:pP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w:t>
            </w:r>
            <w:r>
              <w:rPr>
                <w:rFonts w:ascii="Arial" w:hAnsi="Arial" w:eastAsia="Times New Roman" w:cs="Arial"/>
                <w:sz w:val="20"/>
                <w:lang w:eastAsia="hi-IN" w:bidi="hi-IN"/>
              </w:rPr>
              <w:tab/>
            </w:r>
            <w:r>
              <w:rPr>
                <w:rFonts w:ascii="Arial" w:hAnsi="Arial" w:eastAsia="Times New Roman" w:cs="Arial"/>
                <w:sz w:val="20"/>
                <w:lang w:eastAsia="hi-IN" w:bidi="hi-IN"/>
              </w:rPr>
              <w:t>Presentación y compromiso</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1.2</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Datos generales del oferente.</w:t>
            </w:r>
          </w:p>
          <w:p>
            <w:pPr>
              <w:tabs>
                <w:tab w:val="left" w:pos="-720"/>
              </w:tabs>
              <w:suppressAutoHyphens/>
              <w:spacing w:after="0" w:line="240" w:lineRule="auto"/>
              <w:ind w:left="709" w:right="-119" w:hanging="709"/>
              <w:rPr>
                <w:rFonts w:ascii="Arial" w:hAnsi="Arial" w:eastAsia="Times New Roman" w:cs="Arial"/>
                <w:spacing w:val="-3"/>
                <w:sz w:val="20"/>
                <w:lang w:eastAsia="hi-IN" w:bidi="hi-IN"/>
              </w:rPr>
            </w:pPr>
            <w:r>
              <w:rPr>
                <w:rFonts w:ascii="Arial" w:hAnsi="Arial" w:eastAsia="Times New Roman" w:cs="Arial"/>
                <w:sz w:val="20"/>
                <w:lang w:eastAsia="hi-IN" w:bidi="hi-IN"/>
              </w:rPr>
              <w:t>1.3</w:t>
            </w:r>
            <w:r>
              <w:rPr>
                <w:rFonts w:ascii="Arial" w:hAnsi="Arial" w:eastAsia="Times New Roman" w:cs="Arial"/>
                <w:sz w:val="20"/>
                <w:lang w:eastAsia="hi-IN" w:bidi="hi-IN"/>
              </w:rPr>
              <w:tab/>
            </w:r>
            <w:r>
              <w:rPr>
                <w:rFonts w:ascii="Arial" w:hAnsi="Arial" w:eastAsia="Times New Roman" w:cs="Arial"/>
                <w:sz w:val="20"/>
                <w:lang w:eastAsia="hi-IN" w:bidi="hi-IN"/>
              </w:rPr>
              <w:t>Nómina de socio</w:t>
            </w:r>
            <w:r>
              <w:rPr>
                <w:rFonts w:ascii="Arial" w:hAnsi="Arial" w:eastAsia="Times New Roman" w:cs="Arial"/>
                <w:spacing w:val="-3"/>
                <w:sz w:val="20"/>
                <w:lang w:eastAsia="hi-IN" w:bidi="hi-IN"/>
              </w:rPr>
              <w:t>(s), accionista(s) o partícipe(s) mayoritarios de personas jurídicas oferentes.</w:t>
            </w:r>
          </w:p>
          <w:p>
            <w:pPr>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1.4</w:t>
            </w:r>
            <w:r>
              <w:rPr>
                <w:rFonts w:ascii="Arial" w:hAnsi="Arial" w:eastAsia="Times New Roman" w:cs="Arial"/>
                <w:sz w:val="20"/>
                <w:lang w:eastAsia="hi-IN" w:bidi="hi-IN"/>
              </w:rPr>
              <w:tab/>
            </w:r>
            <w:r>
              <w:rPr>
                <w:rFonts w:ascii="Arial" w:hAnsi="Arial" w:eastAsia="Times New Roman" w:cs="Arial"/>
                <w:sz w:val="20"/>
                <w:lang w:eastAsia="hi-IN" w:bidi="hi-IN"/>
              </w:rPr>
              <w:t>Situación financiera</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1.5</w:t>
            </w:r>
            <w:r>
              <w:rPr>
                <w:rFonts w:ascii="Arial" w:hAnsi="Arial" w:eastAsia="Times New Roman" w:cs="Arial"/>
                <w:sz w:val="20"/>
                <w:lang w:eastAsia="hi-IN" w:bidi="hi-IN"/>
              </w:rPr>
              <w:tab/>
            </w:r>
            <w:r>
              <w:rPr>
                <w:rFonts w:ascii="Arial" w:hAnsi="Arial" w:eastAsia="Times New Roman" w:cs="Arial"/>
                <w:sz w:val="20"/>
                <w:lang w:eastAsia="hi-IN" w:bidi="hi-IN"/>
              </w:rPr>
              <w:t>Tabla de descripción de rubros, unidades, cantidades y precios</w:t>
            </w:r>
          </w:p>
          <w:p>
            <w:pPr>
              <w:suppressAutoHyphens/>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1.6</w:t>
            </w:r>
            <w:r>
              <w:rPr>
                <w:rFonts w:ascii="Arial" w:hAnsi="Arial" w:eastAsia="Times New Roman" w:cs="Arial"/>
                <w:spacing w:val="-2"/>
                <w:sz w:val="20"/>
                <w:lang w:eastAsia="hi-IN" w:bidi="hi-IN"/>
              </w:rPr>
              <w:tab/>
            </w:r>
            <w:r>
              <w:rPr>
                <w:rFonts w:ascii="Arial" w:hAnsi="Arial" w:eastAsia="Times New Roman" w:cs="Arial"/>
                <w:spacing w:val="-2"/>
                <w:sz w:val="20"/>
                <w:lang w:eastAsia="hi-IN" w:bidi="hi-IN"/>
              </w:rPr>
              <w:t>Análisis de precios unitarios</w:t>
            </w:r>
          </w:p>
          <w:p>
            <w:pPr>
              <w:keepNext/>
              <w:keepLines/>
              <w:tabs>
                <w:tab w:val="left" w:pos="0"/>
              </w:tabs>
              <w:suppressAutoHyphens/>
              <w:spacing w:after="0" w:line="240" w:lineRule="auto"/>
              <w:ind w:left="15" w:right="45"/>
              <w:outlineLvl w:val="0"/>
              <w:rPr>
                <w:rFonts w:ascii="Arial" w:hAnsi="Arial" w:eastAsia="Times New Roman" w:cs="Arial"/>
                <w:bCs/>
                <w:sz w:val="20"/>
                <w:lang w:eastAsia="hi-IN" w:bidi="hi-IN"/>
              </w:rPr>
            </w:pPr>
            <w:r>
              <w:rPr>
                <w:rFonts w:ascii="Arial" w:hAnsi="Arial" w:eastAsia="Times New Roman" w:cs="Arial"/>
                <w:bCs/>
                <w:sz w:val="20"/>
                <w:lang w:eastAsia="hi-IN" w:bidi="hi-IN"/>
              </w:rPr>
              <w:t>1.7</w:t>
            </w:r>
            <w:r>
              <w:rPr>
                <w:rFonts w:ascii="Arial" w:hAnsi="Arial" w:eastAsia="Times New Roman" w:cs="Arial"/>
                <w:bCs/>
                <w:sz w:val="20"/>
                <w:lang w:eastAsia="hi-IN" w:bidi="hi-IN"/>
              </w:rPr>
              <w:tab/>
            </w:r>
            <w:r>
              <w:rPr>
                <w:rFonts w:ascii="Arial" w:hAnsi="Arial" w:eastAsia="Times New Roman" w:cs="Arial"/>
                <w:bCs/>
                <w:sz w:val="20"/>
                <w:lang w:eastAsia="hi-IN" w:bidi="hi-IN"/>
              </w:rPr>
              <w:t>Metodología de construcción</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1.8</w:t>
            </w:r>
            <w:r>
              <w:rPr>
                <w:rFonts w:ascii="Arial" w:hAnsi="Arial" w:eastAsia="Times New Roman" w:cs="Arial"/>
                <w:sz w:val="20"/>
                <w:lang w:eastAsia="hi-IN" w:bidi="hi-IN"/>
              </w:rPr>
              <w:tab/>
            </w:r>
            <w:r>
              <w:rPr>
                <w:rFonts w:ascii="Arial" w:hAnsi="Arial" w:eastAsia="Times New Roman" w:cs="Arial"/>
                <w:sz w:val="20"/>
                <w:lang w:eastAsia="hi-IN" w:bidi="hi-IN"/>
              </w:rPr>
              <w:t>Cronograma valorado de trabajos</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1.9</w:t>
            </w:r>
            <w:r>
              <w:rPr>
                <w:rFonts w:ascii="Arial" w:hAnsi="Arial" w:eastAsia="Times New Roman" w:cs="Arial"/>
                <w:sz w:val="20"/>
                <w:lang w:eastAsia="hi-IN" w:bidi="hi-IN"/>
              </w:rPr>
              <w:tab/>
            </w:r>
            <w:r>
              <w:rPr>
                <w:rFonts w:ascii="Arial" w:hAnsi="Arial" w:eastAsia="Times New Roman" w:cs="Arial"/>
                <w:sz w:val="20"/>
                <w:lang w:eastAsia="hi-IN" w:bidi="hi-IN"/>
              </w:rPr>
              <w:t>Experiencia del oferente</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1.10</w:t>
            </w:r>
            <w:r>
              <w:rPr>
                <w:rFonts w:ascii="Arial" w:hAnsi="Arial" w:eastAsia="Times New Roman" w:cs="Arial"/>
                <w:sz w:val="20"/>
                <w:lang w:eastAsia="hi-IN" w:bidi="hi-IN"/>
              </w:rPr>
              <w:tab/>
            </w:r>
            <w:r>
              <w:rPr>
                <w:rFonts w:ascii="Arial" w:hAnsi="Arial" w:eastAsia="Times New Roman" w:cs="Arial"/>
                <w:sz w:val="20"/>
                <w:lang w:eastAsia="hi-IN" w:bidi="hi-IN"/>
              </w:rPr>
              <w:t>Personal técnico propuesto para el proyecto</w:t>
            </w:r>
          </w:p>
          <w:p>
            <w:pPr>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1.11</w:t>
            </w:r>
            <w:r>
              <w:rPr>
                <w:rFonts w:ascii="Arial" w:hAnsi="Arial" w:eastAsia="Times New Roman" w:cs="Arial"/>
                <w:sz w:val="20"/>
                <w:lang w:eastAsia="hi-IN" w:bidi="hi-IN"/>
              </w:rPr>
              <w:tab/>
            </w:r>
            <w:r>
              <w:rPr>
                <w:rFonts w:ascii="Arial" w:hAnsi="Arial" w:eastAsia="Times New Roman" w:cs="Arial"/>
                <w:sz w:val="20"/>
                <w:lang w:eastAsia="hi-IN" w:bidi="hi-IN"/>
              </w:rPr>
              <w:t>Equipo asignado al proyecto</w:t>
            </w:r>
          </w:p>
          <w:p>
            <w:pPr>
              <w:widowControl w:val="0"/>
              <w:suppressAutoHyphens/>
              <w:spacing w:after="0" w:line="240" w:lineRule="auto"/>
              <w:ind w:left="742" w:right="45" w:hanging="708"/>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1.12</w:t>
            </w:r>
            <w:r>
              <w:rPr>
                <w:rFonts w:ascii="Arial" w:hAnsi="Arial" w:eastAsia="Times New Roman" w:cs="Arial"/>
                <w:spacing w:val="-2"/>
                <w:sz w:val="20"/>
                <w:lang w:val="es-ES" w:eastAsia="hi-IN" w:bidi="hi-IN"/>
              </w:rPr>
              <w:tab/>
            </w:r>
            <w:r>
              <w:rPr>
                <w:rFonts w:ascii="Arial" w:hAnsi="Arial" w:eastAsia="Times New Roman" w:cs="Arial"/>
                <w:spacing w:val="-2"/>
                <w:sz w:val="20"/>
                <w:lang w:val="es-ES" w:eastAsia="hi-IN" w:bidi="hi-IN"/>
              </w:rPr>
              <w:t>Participación ecuatoriana para el proyecto, propuesta por el oferente</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w:t>
            </w:r>
            <w:r>
              <w:rPr>
                <w:rFonts w:ascii="Arial" w:hAnsi="Arial" w:eastAsia="Times New Roman" w:cs="Arial"/>
                <w:b/>
                <w:sz w:val="20"/>
                <w:lang w:eastAsia="hi-IN" w:bidi="hi-IN"/>
              </w:rPr>
              <w:tab/>
            </w:r>
          </w:p>
          <w:p>
            <w:pPr>
              <w:suppressAutoHyphens/>
              <w:spacing w:after="0" w:line="240" w:lineRule="auto"/>
              <w:rPr>
                <w:rFonts w:ascii="Arial" w:hAnsi="Arial" w:eastAsia="Times New Roman" w:cs="Arial"/>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sz w:val="20"/>
                <w:lang w:eastAsia="hi-IN" w:bidi="hi-IN"/>
              </w:rPr>
            </w:pPr>
            <w:r>
              <w:rPr>
                <w:rFonts w:ascii="Arial" w:hAnsi="Arial" w:eastAsia="Times New Roman" w:cs="Arial"/>
                <w:b/>
                <w:bCs/>
                <w:sz w:val="20"/>
                <w:lang w:bidi="hi-IN"/>
              </w:rPr>
              <w:t>FORMULARIO DE COMPROMISO DE PARTICIPACIÓN DEL PERSONAL TÉCNICO Y HOJA DE VIDA</w:t>
            </w:r>
          </w:p>
          <w:p>
            <w:pPr>
              <w:suppressAutoHyphens/>
              <w:spacing w:after="0" w:line="240" w:lineRule="auto"/>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rPr>
                <w:rFonts w:ascii="Arial" w:hAnsi="Arial" w:eastAsia="Times New Roman" w:cs="Arial"/>
                <w:b/>
                <w:sz w:val="20"/>
                <w:lang w:eastAsia="hi-IN" w:bidi="hi-IN"/>
              </w:rPr>
            </w:pPr>
            <w:r>
              <w:rPr>
                <w:rFonts w:ascii="Arial" w:hAnsi="Arial" w:eastAsia="Times New Roman" w:cs="Arial"/>
                <w:b/>
                <w:sz w:val="20"/>
                <w:lang w:eastAsia="hi-IN" w:bidi="hi-IN"/>
              </w:rPr>
              <w:t>SECCIÓN III</w:t>
            </w:r>
          </w:p>
          <w:p>
            <w:pPr>
              <w:suppressAutoHyphens/>
              <w:spacing w:after="0" w:line="240" w:lineRule="auto"/>
              <w:jc w:val="center"/>
              <w:rPr>
                <w:rFonts w:ascii="Arial" w:hAnsi="Arial" w:eastAsia="Times New Roman" w:cs="Arial"/>
                <w:b/>
                <w:sz w:val="20"/>
                <w:lang w:eastAsia="hi-IN" w:bidi="hi-IN"/>
              </w:rPr>
            </w:pP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ASOCIACIÓN O CONSORCIO</w:t>
            </w:r>
          </w:p>
          <w:p>
            <w:pPr>
              <w:suppressAutoHyphens/>
              <w:spacing w:after="0" w:line="240" w:lineRule="auto"/>
              <w:rPr>
                <w:rFonts w:ascii="Arial" w:hAnsi="Arial" w:eastAsia="Times New Roman" w:cs="Arial"/>
                <w:b/>
                <w:bCs/>
                <w:sz w:val="20"/>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suppressAutoHyphens/>
              <w:spacing w:after="0" w:line="240" w:lineRule="auto"/>
              <w:jc w:val="center"/>
              <w:rPr>
                <w:rFonts w:ascii="Arial" w:hAnsi="Arial" w:eastAsia="Times New Roman" w:cs="Arial"/>
                <w:b/>
                <w:sz w:val="20"/>
                <w:lang w:eastAsia="hi-IN" w:bidi="hi-IN"/>
              </w:rPr>
            </w:pPr>
          </w:p>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xml:space="preserve">SECCIÓN IV </w:t>
            </w:r>
          </w:p>
        </w:tc>
        <w:tc>
          <w:tcPr>
            <w:tcW w:w="7513" w:type="dxa"/>
            <w:shd w:val="clear" w:color="auto" w:fill="auto"/>
          </w:tcPr>
          <w:p>
            <w:pPr>
              <w:suppressAutoHyphens/>
              <w:spacing w:after="0" w:line="240" w:lineRule="auto"/>
              <w:rPr>
                <w:rFonts w:ascii="Arial" w:hAnsi="Arial" w:eastAsia="Times New Roman" w:cs="Arial"/>
                <w:b/>
                <w:bCs/>
                <w:sz w:val="20"/>
                <w:lang w:bidi="hi-IN"/>
              </w:rPr>
            </w:pPr>
          </w:p>
          <w:p>
            <w:pPr>
              <w:suppressAutoHyphens/>
              <w:spacing w:after="0" w:line="240" w:lineRule="auto"/>
              <w:rPr>
                <w:rFonts w:ascii="Arial" w:hAnsi="Arial" w:eastAsia="Times New Roman" w:cs="Arial"/>
                <w:b/>
                <w:bCs/>
                <w:sz w:val="20"/>
                <w:lang w:bidi="hi-IN"/>
              </w:rPr>
            </w:pPr>
            <w:r>
              <w:rPr>
                <w:rFonts w:ascii="Arial" w:hAnsi="Arial" w:eastAsia="Times New Roman" w:cs="Arial"/>
                <w:b/>
                <w:bCs/>
                <w:sz w:val="20"/>
                <w:lang w:bidi="hi-IN"/>
              </w:rPr>
              <w:t>FORMULARIO DE COMPROMISO DE SUBCONTRATACIÓN</w:t>
            </w:r>
          </w:p>
          <w:p>
            <w:pPr>
              <w:suppressAutoHyphens/>
              <w:spacing w:after="0" w:line="240" w:lineRule="auto"/>
              <w:rPr>
                <w:rFonts w:ascii="Arial" w:hAnsi="Arial" w:eastAsia="Times New Roman" w:cs="Arial"/>
                <w:b/>
                <w:bCs/>
                <w:sz w:val="20"/>
                <w:lang w:bidi="hi-IN"/>
              </w:rPr>
            </w:pPr>
          </w:p>
        </w:tc>
      </w:tr>
    </w:tbl>
    <w:p>
      <w:pPr>
        <w:suppressAutoHyphens/>
        <w:spacing w:after="0" w:line="240" w:lineRule="auto"/>
        <w:rPr>
          <w:rFonts w:ascii="Arial" w:hAnsi="Arial" w:eastAsia="Times New Roman" w:cs="Arial"/>
          <w:sz w:val="20"/>
          <w:lang w:eastAsia="hi-IN" w:bidi="hi-IN"/>
        </w:rPr>
      </w:pPr>
    </w:p>
    <w:p>
      <w:pPr>
        <w:tabs>
          <w:tab w:val="left" w:pos="-540"/>
        </w:tabs>
        <w:suppressAutoHyphens/>
        <w:spacing w:after="0" w:line="240" w:lineRule="auto"/>
        <w:ind w:left="15" w:right="45"/>
        <w:jc w:val="center"/>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rPr>
          <w:rFonts w:ascii="Arial" w:hAnsi="Arial" w:eastAsia="Times New Roman" w:cs="Arial"/>
          <w:spacing w:val="-3"/>
          <w:sz w:val="20"/>
          <w:szCs w:val="20"/>
          <w:lang w:eastAsia="hi-IN" w:bidi="hi-IN"/>
        </w:rPr>
      </w:pPr>
    </w:p>
    <w:p>
      <w:pPr>
        <w:rPr>
          <w:rFonts w:ascii="Arial" w:hAnsi="Arial" w:eastAsia="Times New Roman" w:cs="Arial"/>
          <w:b/>
          <w:bCs/>
          <w:sz w:val="20"/>
          <w:szCs w:val="20"/>
          <w:lang w:eastAsia="hi-IN" w:bidi="hi-IN"/>
        </w:rPr>
      </w:pPr>
    </w:p>
    <w:p>
      <w:pPr>
        <w:rPr>
          <w:rFonts w:ascii="Arial" w:hAnsi="Arial" w:eastAsia="Times New Roman" w:cs="Arial"/>
          <w:b/>
          <w:bCs/>
          <w:sz w:val="20"/>
          <w:szCs w:val="20"/>
          <w:lang w:eastAsia="hi-IN" w:bidi="hi-IN"/>
        </w:rPr>
      </w:pPr>
    </w:p>
    <w:p>
      <w:pPr>
        <w:spacing w:after="0" w:line="240" w:lineRule="auto"/>
        <w:rPr>
          <w:rFonts w:ascii="Arial" w:hAnsi="Arial" w:eastAsia="Times New Roman" w:cs="Arial"/>
          <w:b/>
          <w:bCs/>
          <w:sz w:val="20"/>
          <w:szCs w:val="20"/>
          <w:lang w:eastAsia="hi-IN" w:bidi="hi-IN"/>
        </w:rPr>
      </w:pPr>
      <w:r>
        <w:rPr>
          <w:rFonts w:ascii="Arial" w:hAnsi="Arial" w:eastAsia="Times New Roman" w:cs="Arial"/>
          <w:b/>
          <w:bCs/>
          <w:sz w:val="20"/>
          <w:szCs w:val="20"/>
          <w:lang w:eastAsia="hi-IN" w:bidi="hi-IN"/>
        </w:rPr>
        <w:br w:type="page"/>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r>
        <w:rPr>
          <w:rFonts w:ascii="Arial" w:hAnsi="Arial" w:eastAsia="Times New Roman" w:cs="Arial"/>
          <w:b/>
          <w:bCs/>
          <w:sz w:val="20"/>
          <w:szCs w:val="20"/>
          <w:lang w:bidi="hi-IN"/>
        </w:rPr>
        <w:t>I.  FORMULARIO DE OFERTA</w:t>
      </w:r>
    </w:p>
    <w:p>
      <w:pPr>
        <w:pBdr>
          <w:top w:val="single" w:color="auto" w:sz="4" w:space="1"/>
          <w:left w:val="single" w:color="auto" w:sz="4" w:space="4"/>
          <w:bottom w:val="single" w:color="auto" w:sz="4" w:space="1"/>
          <w:right w:val="single" w:color="auto" w:sz="4" w:space="4"/>
        </w:pBdr>
        <w:shd w:val="clear" w:color="auto" w:fill="F2F2F2"/>
        <w:tabs>
          <w:tab w:val="left" w:pos="-540"/>
        </w:tabs>
        <w:suppressAutoHyphens/>
        <w:spacing w:after="0" w:line="240" w:lineRule="auto"/>
        <w:ind w:left="15" w:right="45"/>
        <w:jc w:val="center"/>
        <w:rPr>
          <w:rFonts w:ascii="Arial" w:hAnsi="Arial" w:eastAsia="Times New Roman" w:cs="Arial"/>
          <w:b/>
          <w:bCs/>
          <w:sz w:val="20"/>
          <w:szCs w:val="20"/>
          <w:lang w:bidi="hi-IN"/>
        </w:rPr>
      </w:pPr>
    </w:p>
    <w:p>
      <w:pPr>
        <w:tabs>
          <w:tab w:val="left" w:pos="-540"/>
        </w:tabs>
        <w:suppressAutoHyphens/>
        <w:spacing w:after="0" w:line="240" w:lineRule="auto"/>
        <w:ind w:right="45"/>
        <w:rPr>
          <w:rFonts w:ascii="Arial" w:hAnsi="Arial" w:eastAsia="Times New Roman" w:cs="Arial"/>
          <w:spacing w:val="-3"/>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NOMBRE DEL OFERENTE: ………………………………………………………..</w:t>
      </w:r>
    </w:p>
    <w:p>
      <w:pPr>
        <w:tabs>
          <w:tab w:val="left" w:pos="-540"/>
        </w:tabs>
        <w:suppressAutoHyphens/>
        <w:spacing w:after="0" w:line="240" w:lineRule="auto"/>
        <w:ind w:right="45"/>
        <w:rPr>
          <w:rFonts w:ascii="Arial" w:hAnsi="Arial" w:eastAsia="Times New Roman" w:cs="Arial"/>
          <w:spacing w:val="-3"/>
          <w:sz w:val="18"/>
          <w:lang w:eastAsia="hi-IN" w:bidi="hi-IN"/>
        </w:rPr>
      </w:pPr>
    </w:p>
    <w:p>
      <w:pPr>
        <w:tabs>
          <w:tab w:val="left" w:pos="-540"/>
        </w:tabs>
        <w:suppressAutoHyphens/>
        <w:spacing w:after="0" w:line="240" w:lineRule="auto"/>
        <w:ind w:right="45"/>
        <w:rPr>
          <w:rFonts w:ascii="Arial" w:hAnsi="Arial" w:eastAsia="Times New Roman" w:cs="Arial"/>
          <w:vanish/>
          <w:spacing w:val="-3"/>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r>
        <w:rPr>
          <w:rFonts w:ascii="Arial" w:hAnsi="Arial" w:eastAsia="Times New Roman" w:cs="Arial"/>
          <w:b/>
          <w:sz w:val="18"/>
          <w:lang w:eastAsia="hi-IN" w:bidi="hi-IN"/>
        </w:rPr>
        <w:t>1.1</w:t>
      </w:r>
      <w:r>
        <w:rPr>
          <w:rFonts w:ascii="Arial" w:hAnsi="Arial" w:eastAsia="Times New Roman" w:cs="Arial"/>
          <w:b/>
          <w:sz w:val="18"/>
          <w:lang w:eastAsia="hi-IN" w:bidi="hi-IN"/>
        </w:rPr>
        <w:tab/>
      </w:r>
      <w:r>
        <w:rPr>
          <w:rFonts w:ascii="Arial" w:hAnsi="Arial" w:eastAsia="Times New Roman" w:cs="Arial"/>
          <w:b/>
          <w:sz w:val="18"/>
          <w:lang w:eastAsia="hi-IN" w:bidi="hi-IN"/>
        </w:rPr>
        <w:t>PRESENTACIÓN Y COMPROMISO</w:t>
      </w:r>
    </w:p>
    <w:p>
      <w:pPr>
        <w:suppressAutoHyphens/>
        <w:spacing w:after="0" w:line="240" w:lineRule="auto"/>
        <w:ind w:left="15" w:right="45"/>
        <w:jc w:val="both"/>
        <w:rPr>
          <w:rFonts w:ascii="Arial" w:hAnsi="Arial" w:eastAsia="Times New Roman" w:cs="Arial"/>
          <w:spacing w:val="-2"/>
          <w:sz w:val="18"/>
          <w:lang w:eastAsia="hi-IN" w:bidi="hi-IN"/>
        </w:rPr>
      </w:pPr>
    </w:p>
    <w:p>
      <w:pPr>
        <w:autoSpaceDE w:val="0"/>
        <w:autoSpaceDN w:val="0"/>
        <w:adjustRightInd w:val="0"/>
        <w:spacing w:after="0" w:line="240" w:lineRule="auto"/>
        <w:jc w:val="both"/>
        <w:rPr>
          <w:rFonts w:ascii="Arial" w:hAnsi="Arial" w:eastAsia="Times New Roman" w:cs="Arial"/>
          <w:sz w:val="18"/>
          <w:lang w:eastAsia="hi-IN" w:bidi="hi-IN"/>
        </w:rPr>
      </w:pPr>
      <w:r>
        <w:rPr>
          <w:rFonts w:ascii="Arial" w:hAnsi="Arial" w:eastAsia="Times New Roman" w:cs="Arial"/>
          <w:sz w:val="18"/>
          <w:lang w:eastAsia="hi-IN" w:bidi="hi-IN"/>
        </w:rPr>
        <w:t>El que suscribe, en atención a la convocatoria efectuada por el GAD MUNICIPAL DEL CANTON CUENCA para la ejecución de</w:t>
      </w:r>
      <w:r>
        <w:rPr>
          <w:rFonts w:ascii="Arial" w:hAnsi="Arial" w:eastAsia="Times New Roman" w:cs="Arial"/>
          <w:b/>
          <w:sz w:val="18"/>
          <w:lang w:bidi="hi-IN"/>
        </w:rPr>
        <w:t xml:space="preserve"> 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i/>
          <w:sz w:val="18"/>
          <w:lang w:eastAsia="hi-IN" w:bidi="hi-IN"/>
        </w:rPr>
        <w:t>,</w:t>
      </w:r>
      <w:r>
        <w:rPr>
          <w:rFonts w:ascii="Arial" w:hAnsi="Arial" w:eastAsia="Times New Roman" w:cs="Arial"/>
          <w:sz w:val="18"/>
          <w:lang w:eastAsia="hi-IN" w:bidi="hi-IN"/>
        </w:rPr>
        <w:t xml:space="preserve"> luego de examinar el pliego del presente procedimiento de ejecución de obras, al presentar esta oferta por (</w:t>
      </w:r>
      <w:r>
        <w:rPr>
          <w:rFonts w:ascii="Arial" w:hAnsi="Arial" w:eastAsia="Times New Roman" w:cs="Arial"/>
          <w:i/>
          <w:sz w:val="18"/>
          <w:lang w:eastAsia="hi-IN" w:bidi="hi-IN"/>
        </w:rPr>
        <w:t>sus propios derechos, si es persona natural) / (representante legal o apoderado de .......................... si es persona jurídica), (procurador común de……………………, si se trata de asociación o consorcio</w:t>
      </w:r>
      <w:r>
        <w:rPr>
          <w:rFonts w:ascii="Arial" w:hAnsi="Arial" w:eastAsia="Times New Roman" w:cs="Arial"/>
          <w:sz w:val="18"/>
          <w:lang w:eastAsia="hi-IN" w:bidi="hi-IN"/>
        </w:rPr>
        <w:t>) declara que:</w:t>
      </w:r>
    </w:p>
    <w:p>
      <w:pPr>
        <w:autoSpaceDE w:val="0"/>
        <w:autoSpaceDN w:val="0"/>
        <w:adjustRightInd w:val="0"/>
        <w:spacing w:after="0" w:line="240" w:lineRule="auto"/>
        <w:jc w:val="both"/>
        <w:rPr>
          <w:rFonts w:ascii="Arial" w:hAnsi="Arial" w:eastAsia="Times New Roman" w:cs="Arial"/>
          <w:sz w:val="18"/>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lang w:eastAsia="hi-IN" w:bidi="hi-IN"/>
        </w:rPr>
        <w:t>El oferente es proveedor elegible de conformidad con las disposiciones del Contrato de Préstamo, las políticas emitidas por CAF, el Reglamento, la Ley Orgánica del Sistema Nacional de Contratación Pública, LOSNCP, y su Reglamento.</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p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Pr>
          <w:rFonts w:ascii="Arial" w:hAnsi="Arial" w:eastAsia="Times New Roman" w:cs="Arial"/>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pPr>
        <w:suppressAutoHyphens/>
        <w:spacing w:after="0" w:line="240" w:lineRule="auto"/>
        <w:jc w:val="both"/>
        <w:rPr>
          <w:rFonts w:ascii="Arial" w:hAnsi="Arial" w:eastAsia="Times New Roman" w:cs="Arial"/>
          <w:spacing w:val="-2"/>
          <w:highlight w:val="cyan"/>
          <w:u w:val="single"/>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val="es-ES" w:eastAsia="hi-IN" w:bidi="hi-IN"/>
        </w:rPr>
      </w:pPr>
      <w:r>
        <w:rPr>
          <w:rFonts w:ascii="Arial" w:hAnsi="Arial" w:eastAsia="Times New Roman" w:cs="Arial"/>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Renuncia a cualquier reclamo posterior, aduciendo desconocimiento de los particulares de este proceso y de las obras específicas a ser adjudicadas.</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pStyle w:val="57"/>
        <w:numPr>
          <w:ilvl w:val="0"/>
          <w:numId w:val="15"/>
        </w:numPr>
        <w:rPr>
          <w:rFonts w:ascii="Arial" w:hAnsi="Arial" w:cs="Arial"/>
          <w:spacing w:val="-2"/>
          <w:sz w:val="22"/>
          <w:szCs w:val="22"/>
        </w:rPr>
      </w:pPr>
      <w:r>
        <w:rPr>
          <w:rFonts w:ascii="Arial" w:hAnsi="Arial"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spacing w:val="-2"/>
          <w:lang w:eastAsia="hi-IN" w:bidi="hi-IN"/>
        </w:rPr>
        <w:t xml:space="preserve"> De resultar adjudicatario, manifiesta que suscribirá el contrato comprometiéndose a ejecutar la obra sobre la base de los estudios con los que cuente la Entidad Contratante y en tal virtud, no podrá aducir error, falencia o cualquier inconformidad de dichos estudios, como causal para solicitar ampliación del plazo, contratación de rubros nuevos o contratos complementarios. </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Se somete a las consideraciones que exige el Contrato de Préstamo con CAF, el Reglamento y demás disposiciones aplicables de la LOSNCP, de su Reglamento General, de las resoluciones del SERCOP.</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Garantiza la veracidad y exactitud de la información y documentación entregada a la Entidad Contratante. Acepta que, en caso de que se comprobare administrativamente por parte de las entidades contratantes que el oferente o contratista hubiere alterado o faltado a la verdad sobre la documentación o información entregada,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pPr>
        <w:suppressAutoHyphens/>
        <w:spacing w:after="0" w:line="240" w:lineRule="auto"/>
        <w:ind w:left="720"/>
        <w:rPr>
          <w:rFonts w:ascii="Arial" w:hAnsi="Arial" w:eastAsia="Times New Roman" w:cs="Arial"/>
          <w:spacing w:val="-2"/>
          <w:lang w:eastAsia="hi-IN" w:bidi="hi-IN"/>
        </w:rPr>
      </w:pPr>
    </w:p>
    <w:p>
      <w:pPr>
        <w:numPr>
          <w:ilvl w:val="0"/>
          <w:numId w:val="15"/>
        </w:numPr>
        <w:tabs>
          <w:tab w:val="left" w:pos="-709"/>
          <w:tab w:val="left" w:pos="709"/>
          <w:tab w:val="left" w:pos="2205"/>
          <w:tab w:val="left" w:pos="3929"/>
          <w:tab w:val="clear" w:pos="720"/>
        </w:tabs>
        <w:suppressAutoHyphens/>
        <w:spacing w:after="0" w:line="240" w:lineRule="auto"/>
        <w:ind w:left="709" w:hanging="425"/>
        <w:jc w:val="both"/>
        <w:rPr>
          <w:rFonts w:ascii="Arial" w:hAnsi="Arial" w:eastAsia="Times New Roman" w:cs="Arial"/>
          <w:spacing w:val="-2"/>
          <w:lang w:eastAsia="hi-IN" w:bidi="hi-IN"/>
        </w:rPr>
      </w:pPr>
      <w:r>
        <w:rPr>
          <w:rFonts w:ascii="Arial" w:hAnsi="Arial" w:eastAsia="Times New Roman" w:cs="Arial"/>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pPr>
        <w:tabs>
          <w:tab w:val="left" w:pos="-709"/>
          <w:tab w:val="left" w:pos="709"/>
        </w:tabs>
        <w:suppressAutoHyphens/>
        <w:spacing w:after="0" w:line="240" w:lineRule="auto"/>
        <w:ind w:left="709" w:hanging="425"/>
        <w:jc w:val="both"/>
        <w:rPr>
          <w:rFonts w:ascii="Arial" w:hAnsi="Arial" w:eastAsia="Times New Roman" w:cs="Arial"/>
          <w:spacing w:val="-2"/>
          <w:lang w:eastAsia="hi-IN" w:bidi="hi-IN"/>
        </w:rPr>
      </w:pPr>
    </w:p>
    <w:p>
      <w:pPr>
        <w:numPr>
          <w:ilvl w:val="0"/>
          <w:numId w:val="15"/>
        </w:numPr>
        <w:suppressAutoHyphens/>
        <w:spacing w:after="0" w:line="240" w:lineRule="auto"/>
        <w:jc w:val="both"/>
        <w:rPr>
          <w:rFonts w:ascii="Arial" w:hAnsi="Arial" w:eastAsia="Times New Roman" w:cs="Arial"/>
          <w:lang w:val="es-MX" w:eastAsia="hi-IN" w:bidi="hi-IN"/>
        </w:rPr>
      </w:pPr>
      <w:r>
        <w:rPr>
          <w:rFonts w:ascii="Arial" w:hAnsi="Arial" w:eastAsia="Times New Roman" w:cs="Arial"/>
          <w:lang w:val="es-MX" w:eastAsia="hi-IN" w:bidi="hi-IN"/>
        </w:rPr>
        <w:t xml:space="preserve"> En caso de que resuelva subcontratar la ejecución de parte de la obra que se le adjudicare, subcontratará  hasta el 30% del valor de la oferta la ejecución de los rubros determinados en ella. </w:t>
      </w:r>
    </w:p>
    <w:p>
      <w:pPr>
        <w:suppressAutoHyphens/>
        <w:spacing w:after="0" w:line="240" w:lineRule="auto"/>
        <w:ind w:left="720"/>
        <w:jc w:val="both"/>
        <w:rPr>
          <w:rFonts w:ascii="Arial" w:hAnsi="Arial" w:eastAsia="Times New Roman" w:cs="Arial"/>
          <w:lang w:val="es-MX"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lang w:eastAsia="hi-IN" w:bidi="hi-IN"/>
        </w:rPr>
      </w:pPr>
      <w:r>
        <w:rPr>
          <w:rFonts w:ascii="Arial" w:hAnsi="Arial" w:eastAsia="Times New Roman" w:cs="Arial"/>
          <w:spacing w:val="-2"/>
          <w:lang w:eastAsia="hi-IN" w:bidi="hi-IN"/>
        </w:rPr>
        <w:t xml:space="preserve">Bajo juramento, que no está incurso en las inhabilidades generales y especiales para contratar establecidas en los artículos 62 y 63 de la </w:t>
      </w:r>
      <w:r>
        <w:rPr>
          <w:rFonts w:ascii="Arial" w:hAnsi="Arial" w:eastAsia="Times New Roman" w:cs="Arial"/>
          <w:lang w:eastAsia="hi-IN" w:bidi="hi-IN"/>
        </w:rPr>
        <w:t>LOSNCP y de los artículos 110 y 111 de su Reglamento General, en el Reglamento y demás normativa aplicable.</w:t>
      </w:r>
    </w:p>
    <w:p>
      <w:pPr>
        <w:tabs>
          <w:tab w:val="left" w:pos="0"/>
          <w:tab w:val="left" w:pos="2205"/>
          <w:tab w:val="left" w:pos="3929"/>
        </w:tabs>
        <w:suppressAutoHyphens/>
        <w:spacing w:after="0" w:line="240" w:lineRule="auto"/>
        <w:jc w:val="both"/>
        <w:rPr>
          <w:rFonts w:ascii="Arial" w:hAnsi="Arial" w:eastAsia="Times New Roman" w:cs="Arial"/>
          <w:lang w:eastAsia="hi-IN" w:bidi="hi-IN"/>
        </w:rPr>
      </w:pPr>
    </w:p>
    <w:p>
      <w:pPr>
        <w:numPr>
          <w:ilvl w:val="0"/>
          <w:numId w:val="15"/>
        </w:numPr>
        <w:tabs>
          <w:tab w:val="left" w:pos="0"/>
          <w:tab w:val="left" w:pos="2205"/>
          <w:tab w:val="left" w:pos="3929"/>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En caso de que sea adjudicatario, conviene en:</w:t>
      </w:r>
    </w:p>
    <w:p>
      <w:pPr>
        <w:suppressAutoHyphens/>
        <w:spacing w:after="0" w:line="240" w:lineRule="auto"/>
        <w:ind w:left="15" w:right="45"/>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Firmar el contrato dentro del término de 15 días desde la notificación con la resolución de adjudicación. Como requisito indispensable previo a la suscripción del contrato presentará las garantías correspondientes. (</w:t>
      </w:r>
      <w:r>
        <w:rPr>
          <w:rFonts w:ascii="Arial" w:hAnsi="Arial" w:eastAsia="Times New Roman" w:cs="Arial"/>
          <w:i/>
          <w:spacing w:val="-2"/>
          <w:lang w:eastAsia="hi-IN" w:bidi="hi-IN"/>
        </w:rPr>
        <w:t>Para el caso de Consorcio se tendrá un término no mayor de treinta días</w:t>
      </w:r>
      <w:r>
        <w:rPr>
          <w:rFonts w:ascii="Arial" w:hAnsi="Arial" w:eastAsia="Times New Roman" w:cs="Arial"/>
          <w:spacing w:val="-2"/>
          <w:lang w:eastAsia="hi-IN" w:bidi="hi-IN"/>
        </w:rPr>
        <w:t>)</w:t>
      </w:r>
    </w:p>
    <w:p>
      <w:pPr>
        <w:tabs>
          <w:tab w:val="left" w:pos="0"/>
          <w:tab w:val="left" w:pos="1418"/>
        </w:tabs>
        <w:suppressAutoHyphens/>
        <w:spacing w:after="0" w:line="240" w:lineRule="auto"/>
        <w:ind w:left="720"/>
        <w:jc w:val="both"/>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Aceptar que, en caso de negarse a suscribir, sin justificación adecuada, el respectivo contrato dentro del término señalado, se aplicará la sanción indicada en los artículos 35 y 69 de la LOSNCP.</w:t>
      </w:r>
    </w:p>
    <w:p>
      <w:pPr>
        <w:tabs>
          <w:tab w:val="left" w:pos="0"/>
          <w:tab w:val="left" w:pos="1418"/>
        </w:tabs>
        <w:suppressAutoHyphens/>
        <w:spacing w:after="0" w:line="240" w:lineRule="auto"/>
        <w:ind w:left="720"/>
        <w:jc w:val="both"/>
        <w:rPr>
          <w:rFonts w:ascii="Arial" w:hAnsi="Arial" w:eastAsia="Times New Roman" w:cs="Arial"/>
          <w:lang w:eastAsia="hi-IN" w:bidi="hi-IN"/>
        </w:rPr>
      </w:pPr>
    </w:p>
    <w:p>
      <w:pPr>
        <w:numPr>
          <w:ilvl w:val="0"/>
          <w:numId w:val="16"/>
        </w:numPr>
        <w:tabs>
          <w:tab w:val="left" w:pos="1418"/>
        </w:tabs>
        <w:suppressAutoHyphens/>
        <w:spacing w:after="0" w:line="240" w:lineRule="auto"/>
        <w:jc w:val="both"/>
        <w:rPr>
          <w:rFonts w:ascii="Arial" w:hAnsi="Arial" w:eastAsia="Times New Roman" w:cs="Arial"/>
          <w:spacing w:val="-2"/>
          <w:lang w:eastAsia="hi-IN" w:bidi="hi-IN"/>
        </w:rPr>
      </w:pPr>
      <w:r>
        <w:rPr>
          <w:rFonts w:ascii="Arial" w:hAnsi="Arial" w:eastAsia="Times New Roman" w:cs="Arial"/>
          <w:spacing w:val="-2"/>
          <w:lang w:eastAsia="hi-IN" w:bidi="hi-IN"/>
        </w:rPr>
        <w:t>Garantizar todo el trabajo que efectuará de conformidad con los documentos del contrato</w:t>
      </w:r>
      <w:r>
        <w:rPr>
          <w:rFonts w:ascii="Arial" w:hAnsi="Arial" w:eastAsia="Times New Roman" w:cs="Arial"/>
          <w:i/>
          <w:spacing w:val="-2"/>
          <w:lang w:eastAsia="hi-IN" w:bidi="hi-IN"/>
        </w:rPr>
        <w:t xml:space="preserve">, </w:t>
      </w:r>
      <w:r>
        <w:rPr>
          <w:rFonts w:ascii="Arial" w:hAnsi="Arial" w:eastAsia="Times New Roman" w:cs="Arial"/>
          <w:spacing w:val="-2"/>
          <w:lang w:eastAsia="hi-IN" w:bidi="hi-IN"/>
        </w:rPr>
        <w:t>y mantener o reparar la obra hasta su recepción definitiva.</w:t>
      </w:r>
    </w:p>
    <w:p>
      <w:pPr>
        <w:autoSpaceDE w:val="0"/>
        <w:autoSpaceDN w:val="0"/>
        <w:adjustRightInd w:val="0"/>
        <w:spacing w:after="0" w:line="240" w:lineRule="auto"/>
        <w:jc w:val="both"/>
        <w:rPr>
          <w:rFonts w:ascii="Arial" w:hAnsi="Arial" w:eastAsia="Times New Roman" w:cs="Arial"/>
          <w:sz w:val="20"/>
          <w:lang w:eastAsia="hi-IN" w:bidi="hi-IN"/>
        </w:rPr>
      </w:pPr>
    </w:p>
    <w:p>
      <w:pPr>
        <w:spacing w:after="0" w:line="240" w:lineRule="auto"/>
        <w:rPr>
          <w:rFonts w:ascii="Arial" w:hAnsi="Arial" w:eastAsia="Times New Roman" w:cs="Arial"/>
          <w:b/>
          <w:spacing w:val="-2"/>
          <w:sz w:val="20"/>
          <w:lang w:eastAsia="hi-IN" w:bidi="hi-IN"/>
        </w:rPr>
      </w:pPr>
    </w:p>
    <w:p>
      <w:pPr>
        <w:spacing w:after="0" w:line="240" w:lineRule="auto"/>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1.2</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DATOS GENERALES DEL OFERENTE.</w:t>
      </w:r>
    </w:p>
    <w:p>
      <w:pPr>
        <w:tabs>
          <w:tab w:val="left" w:pos="-540"/>
        </w:tabs>
        <w:suppressAutoHyphens/>
        <w:spacing w:after="0" w:line="240" w:lineRule="auto"/>
        <w:ind w:left="15" w:right="45"/>
        <w:jc w:val="both"/>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r>
        <w:rPr>
          <w:rFonts w:ascii="Arial" w:hAnsi="Arial" w:eastAsia="Times New Roman" w:cs="Arial"/>
          <w:spacing w:val="-2"/>
          <w:sz w:val="20"/>
          <w:lang w:eastAsia="hi-IN" w:bidi="hi-IN"/>
        </w:rPr>
        <w:t>NOMBRE DEL OFERENTE: (</w:t>
      </w:r>
      <w:r>
        <w:rPr>
          <w:rFonts w:ascii="Arial" w:hAnsi="Arial" w:eastAsia="Times New Roman" w:cs="Arial"/>
          <w:i/>
          <w:spacing w:val="-2"/>
          <w:sz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Pr>
          <w:rFonts w:ascii="Arial" w:hAnsi="Arial" w:eastAsia="Times New Roman" w:cs="Arial"/>
          <w:spacing w:val="-2"/>
          <w:sz w:val="20"/>
          <w:lang w:eastAsia="hi-IN" w:bidi="hi-IN"/>
        </w:rPr>
        <w:t>).</w:t>
      </w:r>
    </w:p>
    <w:p>
      <w:pPr>
        <w:tabs>
          <w:tab w:val="left" w:pos="-540"/>
        </w:tabs>
        <w:suppressAutoHyphens/>
        <w:spacing w:after="0" w:line="240" w:lineRule="auto"/>
        <w:ind w:left="15" w:right="45"/>
        <w:jc w:val="both"/>
        <w:rPr>
          <w:rFonts w:ascii="Arial" w:hAnsi="Arial" w:eastAsia="Times New Roman" w:cs="Arial"/>
          <w:spacing w:val="-2"/>
          <w:sz w:val="20"/>
          <w:lang w:eastAsia="hi-IN" w:bidi="hi-IN"/>
        </w:rPr>
      </w:pPr>
    </w:p>
    <w:tbl>
      <w:tblPr>
        <w:tblStyle w:val="46"/>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Ciudad:</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(principal)</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No: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Calle (intersección):</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Teléfono(s):</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Correo electrónico</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Cédula de Ciudadanía (Pasaporte):</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2" w:type="dxa"/>
            <w:shd w:val="clear" w:color="auto" w:fill="F2F2F2"/>
            <w:vAlign w:val="center"/>
          </w:tcPr>
          <w:p>
            <w:pPr>
              <w:tabs>
                <w:tab w:val="left" w:pos="-540"/>
              </w:tabs>
              <w:suppressAutoHyphens/>
              <w:spacing w:before="60" w:after="60" w:line="240" w:lineRule="auto"/>
              <w:ind w:left="15" w:right="45"/>
              <w:rPr>
                <w:rFonts w:ascii="Arial" w:hAnsi="Arial" w:eastAsia="Times New Roman" w:cs="Arial"/>
                <w:b/>
                <w:spacing w:val="-2"/>
                <w:sz w:val="20"/>
                <w:lang w:eastAsia="hi-IN" w:bidi="hi-IN"/>
              </w:rPr>
            </w:pPr>
            <w:r>
              <w:rPr>
                <w:rFonts w:ascii="Arial" w:hAnsi="Arial" w:eastAsia="Times New Roman" w:cs="Arial"/>
                <w:b/>
                <w:spacing w:val="-2"/>
                <w:sz w:val="20"/>
                <w:lang w:eastAsia="hi-IN" w:bidi="hi-IN"/>
              </w:rPr>
              <w:t>R.U.C:</w:t>
            </w:r>
          </w:p>
        </w:tc>
        <w:tc>
          <w:tcPr>
            <w:tcW w:w="4322" w:type="dxa"/>
            <w:shd w:val="clear" w:color="auto" w:fill="auto"/>
            <w:vAlign w:val="center"/>
          </w:tcPr>
          <w:p>
            <w:pPr>
              <w:tabs>
                <w:tab w:val="left" w:pos="-540"/>
              </w:tabs>
              <w:suppressAutoHyphens/>
              <w:spacing w:before="60" w:after="60" w:line="240" w:lineRule="auto"/>
              <w:ind w:right="45"/>
              <w:rPr>
                <w:rFonts w:ascii="Arial" w:hAnsi="Arial" w:eastAsia="Times New Roman" w:cs="Arial"/>
                <w:spacing w:val="-2"/>
                <w:sz w:val="20"/>
                <w:lang w:eastAsia="hi-IN" w:bidi="hi-IN"/>
              </w:rPr>
            </w:pPr>
          </w:p>
        </w:tc>
      </w:tr>
    </w:tbl>
    <w:p>
      <w:pPr>
        <w:spacing w:after="0" w:line="240" w:lineRule="auto"/>
        <w:jc w:val="both"/>
        <w:rPr>
          <w:rFonts w:ascii="Arial" w:hAnsi="Arial" w:eastAsia="Times New Roman" w:cs="Arial"/>
          <w:spacing w:val="-2"/>
          <w:sz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p>
    <w:p>
      <w:pPr>
        <w:tabs>
          <w:tab w:val="left" w:pos="-720"/>
          <w:tab w:val="left" w:pos="2380"/>
          <w:tab w:val="left" w:pos="2618"/>
          <w:tab w:val="center" w:pos="4419"/>
          <w:tab w:val="right" w:pos="8838"/>
        </w:tabs>
        <w:suppressAutoHyphens/>
        <w:spacing w:after="0" w:line="240" w:lineRule="auto"/>
        <w:ind w:right="-119"/>
        <w:rPr>
          <w:rFonts w:ascii="Arial" w:hAnsi="Arial" w:eastAsia="Times New Roman" w:cs="Arial"/>
          <w:b/>
          <w:bCs/>
          <w:spacing w:val="-2"/>
          <w:sz w:val="24"/>
          <w:szCs w:val="20"/>
          <w:lang w:eastAsia="hi-IN" w:bidi="hi-IN"/>
        </w:rPr>
      </w:pPr>
      <w:r>
        <w:rPr>
          <w:rFonts w:ascii="Arial" w:hAnsi="Arial" w:eastAsia="Times New Roman" w:cs="Arial"/>
          <w:b/>
          <w:bCs/>
          <w:spacing w:val="-2"/>
          <w:sz w:val="24"/>
          <w:szCs w:val="20"/>
          <w:lang w:eastAsia="hi-IN" w:bidi="hi-IN"/>
        </w:rPr>
        <w:t>-------------------------------------------------------</w:t>
      </w:r>
    </w:p>
    <w:p>
      <w:pPr>
        <w:shd w:val="clear" w:color="auto" w:fill="FFFFFF"/>
        <w:tabs>
          <w:tab w:val="left" w:pos="-720"/>
          <w:tab w:val="left" w:pos="2856"/>
          <w:tab w:val="left" w:pos="3094"/>
          <w:tab w:val="left" w:pos="3451"/>
          <w:tab w:val="left" w:pos="3689"/>
        </w:tabs>
        <w:suppressAutoHyphens/>
        <w:spacing w:after="0" w:line="240" w:lineRule="auto"/>
        <w:ind w:right="-119"/>
        <w:rPr>
          <w:rFonts w:ascii="Arial" w:hAnsi="Arial" w:eastAsia="Times New Roman" w:cs="Arial"/>
          <w:bCs/>
          <w:sz w:val="20"/>
          <w:szCs w:val="20"/>
          <w:lang w:eastAsia="hi-IN" w:bidi="hi-IN"/>
        </w:rPr>
      </w:pPr>
      <w:r>
        <w:rPr>
          <w:rFonts w:ascii="Arial" w:hAnsi="Arial" w:eastAsia="Times New Roman" w:cs="Arial"/>
          <w:bCs/>
          <w:sz w:val="20"/>
          <w:szCs w:val="20"/>
          <w:lang w:eastAsia="hi-IN" w:bidi="hi-IN"/>
        </w:rPr>
        <w:t>FIRMA DEL OFERENTE, SU REPRESENTANTE LEGAL O PROCURADOR COMÚN (según el caso)</w:t>
      </w: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p>
    <w:p>
      <w:pPr>
        <w:shd w:val="clear" w:color="auto" w:fill="FFFFFF"/>
        <w:tabs>
          <w:tab w:val="center" w:pos="2074"/>
        </w:tabs>
        <w:suppressAutoHyphens/>
        <w:spacing w:after="0" w:line="240" w:lineRule="auto"/>
        <w:ind w:left="15" w:right="45"/>
        <w:rPr>
          <w:rFonts w:ascii="Arial" w:hAnsi="Arial" w:eastAsia="Times New Roman" w:cs="Arial"/>
          <w:spacing w:val="-2"/>
          <w:lang w:eastAsia="hi-IN" w:bidi="hi-IN"/>
        </w:rPr>
      </w:pPr>
      <w:r>
        <w:rPr>
          <w:rFonts w:ascii="Arial" w:hAnsi="Arial" w:eastAsia="Times New Roman" w:cs="Arial"/>
          <w:spacing w:val="-2"/>
          <w:lang w:eastAsia="hi-IN" w:bidi="hi-IN"/>
        </w:rPr>
        <w:t>Nota.- Este formulario no podrá ser modificado y en caso de hacerlo se desestimará al oferente.</w:t>
      </w:r>
    </w:p>
    <w:p>
      <w:pPr>
        <w:shd w:val="clear" w:color="auto" w:fill="FFFFFF"/>
        <w:tabs>
          <w:tab w:val="center" w:pos="2074"/>
        </w:tabs>
        <w:suppressAutoHyphens/>
        <w:spacing w:after="0" w:line="240" w:lineRule="auto"/>
        <w:ind w:left="15" w:right="45"/>
        <w:rPr>
          <w:rFonts w:ascii="Arial" w:hAnsi="Arial" w:eastAsia="Times New Roman" w:cs="Arial"/>
          <w:bCs/>
          <w:i/>
          <w:sz w:val="20"/>
          <w:lang w:val="es-ES" w:bidi="hi-IN"/>
        </w:rPr>
      </w:pPr>
      <w:r>
        <w:rPr>
          <w:rFonts w:ascii="Arial" w:hAnsi="Arial" w:eastAsia="Times New Roman" w:cs="Arial"/>
          <w:spacing w:val="-2"/>
          <w:sz w:val="24"/>
          <w:szCs w:val="20"/>
          <w:lang w:eastAsia="hi-IN" w:bidi="hi-IN"/>
        </w:rPr>
        <w:br w:type="page"/>
      </w: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1.3</w:t>
      </w:r>
      <w:r>
        <w:rPr>
          <w:rFonts w:ascii="Arial" w:hAnsi="Arial" w:eastAsia="Times New Roman" w:cs="Arial"/>
          <w:b/>
          <w:sz w:val="18"/>
          <w:lang w:eastAsia="hi-IN" w:bidi="hi-IN"/>
        </w:rPr>
        <w:tab/>
      </w:r>
      <w:r>
        <w:rPr>
          <w:rFonts w:ascii="Arial" w:hAnsi="Arial" w:eastAsia="Times New Roman" w:cs="Arial"/>
          <w:b/>
          <w:sz w:val="18"/>
          <w:lang w:eastAsia="hi-IN" w:bidi="hi-IN"/>
        </w:rPr>
        <w:t>SITUACIÓN FINANCIERA</w:t>
      </w:r>
    </w:p>
    <w:p>
      <w:pPr>
        <w:tabs>
          <w:tab w:val="left" w:pos="-540"/>
        </w:tabs>
        <w:suppressAutoHyphens/>
        <w:spacing w:after="0" w:line="240" w:lineRule="auto"/>
        <w:ind w:left="15" w:right="45"/>
        <w:jc w:val="both"/>
        <w:rPr>
          <w:rFonts w:ascii="Arial" w:hAnsi="Arial" w:eastAsia="Times New Roman" w:cs="Arial"/>
          <w:sz w:val="18"/>
          <w:lang w:eastAsia="hi-IN" w:bidi="hi-IN"/>
        </w:rPr>
      </w:pPr>
    </w:p>
    <w:p>
      <w:pPr>
        <w:tabs>
          <w:tab w:val="left" w:pos="-540"/>
        </w:tabs>
        <w:suppressAutoHyphens/>
        <w:spacing w:after="0" w:line="240" w:lineRule="auto"/>
        <w:ind w:left="15" w:right="45"/>
        <w:jc w:val="both"/>
        <w:rPr>
          <w:rFonts w:ascii="Arial" w:hAnsi="Arial" w:eastAsia="Times New Roman" w:cs="Arial"/>
          <w:i/>
          <w:iCs/>
          <w:spacing w:val="-2"/>
          <w:sz w:val="18"/>
          <w:lang w:eastAsia="hi-IN" w:bidi="hi-IN"/>
        </w:rPr>
      </w:pPr>
      <w:r>
        <w:rPr>
          <w:rFonts w:ascii="Arial" w:hAnsi="Arial" w:eastAsia="Times New Roman" w:cs="Arial"/>
          <w:sz w:val="18"/>
          <w:lang w:eastAsia="hi-IN" w:bidi="hi-IN"/>
        </w:rPr>
        <w:t xml:space="preserve">La situación financiera del oferente se demostrará con la presentación del formulario de </w:t>
      </w:r>
      <w:r>
        <w:rPr>
          <w:rFonts w:ascii="Arial" w:hAnsi="Arial" w:eastAsia="Times New Roman" w:cs="Arial"/>
          <w:i/>
          <w:iCs/>
          <w:spacing w:val="-2"/>
          <w:sz w:val="18"/>
          <w:lang w:eastAsia="hi-IN" w:bidi="hi-IN"/>
        </w:rPr>
        <w:t>declaración de impuesto a la renta del ejercicio fiscal inmediato anterior que fue entregada al Servicio de Rentas Internas SRI.</w:t>
      </w:r>
    </w:p>
    <w:p>
      <w:pPr>
        <w:tabs>
          <w:tab w:val="center" w:pos="2164"/>
        </w:tabs>
        <w:suppressAutoHyphens/>
        <w:spacing w:after="0" w:line="240" w:lineRule="auto"/>
        <w:ind w:left="15" w:right="45"/>
        <w:jc w:val="both"/>
        <w:rPr>
          <w:rFonts w:ascii="Arial" w:hAnsi="Arial" w:eastAsia="Times New Roman" w:cs="Arial"/>
          <w:iCs/>
          <w:spacing w:val="-2"/>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EL participante presentará la información requerida por la entidad para los índices financieros por ella solicitada, conforme el siguiente cuadro:</w:t>
      </w:r>
    </w:p>
    <w:p>
      <w:pPr>
        <w:tabs>
          <w:tab w:val="center" w:pos="2164"/>
        </w:tabs>
        <w:suppressAutoHyphens/>
        <w:spacing w:after="0" w:line="240" w:lineRule="auto"/>
        <w:ind w:left="15" w:right="45"/>
        <w:jc w:val="both"/>
        <w:rPr>
          <w:rFonts w:ascii="Arial" w:hAnsi="Arial" w:eastAsia="Times New Roman" w:cs="Arial"/>
          <w:sz w:val="18"/>
          <w:lang w:eastAsia="hi-IN" w:bidi="hi-IN"/>
        </w:rPr>
      </w:pPr>
    </w:p>
    <w:p>
      <w:pPr>
        <w:tabs>
          <w:tab w:val="center" w:pos="2164"/>
        </w:tabs>
        <w:suppressAutoHyphens/>
        <w:spacing w:after="0" w:line="240" w:lineRule="auto"/>
        <w:ind w:left="15" w:right="45"/>
        <w:jc w:val="both"/>
        <w:rPr>
          <w:rFonts w:ascii="Arial" w:hAnsi="Arial" w:eastAsia="Times New Roman" w:cs="Arial"/>
          <w:sz w:val="18"/>
          <w:lang w:eastAsia="hi-IN" w:bidi="hi-IN"/>
        </w:rPr>
      </w:pPr>
    </w:p>
    <w:tbl>
      <w:tblPr>
        <w:tblStyle w:val="46"/>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417"/>
        <w:gridCol w:w="19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Índice</w:t>
            </w:r>
          </w:p>
        </w:tc>
        <w:tc>
          <w:tcPr>
            <w:tcW w:w="1417" w:type="dxa"/>
            <w:shd w:val="clear" w:color="auto" w:fill="D9D9D9"/>
            <w:vAlign w:val="center"/>
          </w:tcPr>
          <w:p>
            <w:pPr>
              <w:suppressAutoHyphens/>
              <w:spacing w:after="0" w:line="240" w:lineRule="auto"/>
              <w:jc w:val="center"/>
              <w:rPr>
                <w:rFonts w:ascii="Arial" w:hAnsi="Arial" w:eastAsia="Times New Roman" w:cs="Arial"/>
                <w:b/>
                <w:spacing w:val="-3"/>
                <w:sz w:val="20"/>
                <w:lang w:eastAsia="hi-IN" w:bidi="hi-IN"/>
              </w:rPr>
            </w:pPr>
            <w:r>
              <w:rPr>
                <w:rFonts w:ascii="Arial" w:hAnsi="Arial" w:eastAsia="Times New Roman" w:cs="Arial"/>
                <w:b/>
                <w:spacing w:val="-3"/>
                <w:sz w:val="18"/>
                <w:lang w:eastAsia="hi-IN" w:bidi="hi-IN"/>
              </w:rPr>
              <w:t>Indicador solicitado</w:t>
            </w:r>
          </w:p>
        </w:tc>
        <w:tc>
          <w:tcPr>
            <w:tcW w:w="1968"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Indicador declarado por el oferente</w:t>
            </w:r>
          </w:p>
        </w:tc>
        <w:tc>
          <w:tcPr>
            <w:tcW w:w="2109" w:type="dxa"/>
            <w:shd w:val="clear" w:color="auto" w:fill="D9D9D9"/>
            <w:vAlign w:val="center"/>
          </w:tcPr>
          <w:p>
            <w:pPr>
              <w:suppressAutoHyphens/>
              <w:spacing w:after="0" w:line="240" w:lineRule="auto"/>
              <w:jc w:val="center"/>
              <w:rPr>
                <w:rFonts w:ascii="Arial" w:hAnsi="Arial" w:eastAsia="Times New Roman" w:cs="Arial"/>
                <w:b/>
                <w:spacing w:val="-3"/>
                <w:sz w:val="18"/>
                <w:lang w:eastAsia="hi-IN" w:bidi="hi-IN"/>
              </w:rPr>
            </w:pPr>
            <w:r>
              <w:rPr>
                <w:rFonts w:ascii="Arial" w:hAnsi="Arial" w:eastAsia="Times New Roman" w:cs="Arial"/>
                <w:b/>
                <w:spacing w:val="-3"/>
                <w:sz w:val="18"/>
                <w:lang w:eastAsia="hi-IN" w:bidi="hi-IN"/>
              </w:rPr>
              <w:t>Observaciones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Solvencia</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1</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vAlign w:val="center"/>
          </w:tcPr>
          <w:p>
            <w:pPr>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18"/>
                <w:lang w:eastAsia="hi-IN" w:bidi="hi-IN"/>
              </w:rPr>
              <w:t>Endeudamiento</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&lt; 0.85</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0" w:type="dxa"/>
            <w:shd w:val="clear" w:color="auto" w:fill="auto"/>
          </w:tcPr>
          <w:p>
            <w:pPr>
              <w:suppressAutoHyphens/>
              <w:spacing w:after="0" w:line="240" w:lineRule="auto"/>
              <w:jc w:val="both"/>
              <w:rPr>
                <w:rFonts w:ascii="Arial" w:hAnsi="Arial" w:eastAsia="Times New Roman" w:cs="Arial"/>
                <w:spacing w:val="-3"/>
                <w:sz w:val="18"/>
                <w:lang w:eastAsia="hi-IN" w:bidi="hi-IN"/>
              </w:rPr>
            </w:pPr>
            <w:r>
              <w:rPr>
                <w:rFonts w:ascii="Arial" w:hAnsi="Arial" w:eastAsia="Times New Roman" w:cs="Arial"/>
                <w:spacing w:val="-3"/>
                <w:sz w:val="18"/>
                <w:lang w:eastAsia="hi-IN" w:bidi="hi-IN"/>
              </w:rPr>
              <w:t>Índice estructural</w:t>
            </w:r>
          </w:p>
        </w:tc>
        <w:tc>
          <w:tcPr>
            <w:tcW w:w="1417" w:type="dxa"/>
            <w:shd w:val="clear" w:color="auto" w:fill="auto"/>
            <w:vAlign w:val="center"/>
          </w:tcPr>
          <w:p>
            <w:pPr>
              <w:suppressAutoHyphens/>
              <w:spacing w:after="0" w:line="240" w:lineRule="auto"/>
              <w:jc w:val="center"/>
              <w:rPr>
                <w:rFonts w:ascii="Arial" w:hAnsi="Arial" w:eastAsia="Times New Roman" w:cs="Arial"/>
                <w:spacing w:val="-3"/>
                <w:sz w:val="18"/>
                <w:lang w:eastAsia="hi-IN" w:bidi="hi-IN"/>
              </w:rPr>
            </w:pPr>
            <w:r>
              <w:rPr>
                <w:rFonts w:ascii="Arial" w:hAnsi="Arial" w:eastAsia="Times New Roman" w:cs="Arial"/>
                <w:spacing w:val="-3"/>
                <w:sz w:val="18"/>
                <w:lang w:eastAsia="hi-IN" w:bidi="hi-IN"/>
              </w:rPr>
              <w:t>&gt;= 0.20</w:t>
            </w:r>
          </w:p>
        </w:tc>
        <w:tc>
          <w:tcPr>
            <w:tcW w:w="1968" w:type="dxa"/>
            <w:shd w:val="clear" w:color="auto" w:fill="auto"/>
            <w:vAlign w:val="center"/>
          </w:tcPr>
          <w:p>
            <w:pPr>
              <w:suppressAutoHyphens/>
              <w:spacing w:after="0" w:line="240" w:lineRule="auto"/>
              <w:jc w:val="center"/>
              <w:rPr>
                <w:rFonts w:ascii="Arial" w:hAnsi="Arial" w:eastAsia="Times New Roman" w:cs="Arial"/>
                <w:spacing w:val="-3"/>
                <w:sz w:val="20"/>
                <w:lang w:eastAsia="hi-IN" w:bidi="hi-IN"/>
              </w:rPr>
            </w:pPr>
          </w:p>
        </w:tc>
        <w:tc>
          <w:tcPr>
            <w:tcW w:w="2109" w:type="dxa"/>
            <w:vAlign w:val="center"/>
          </w:tcPr>
          <w:p>
            <w:pPr>
              <w:suppressAutoHyphens/>
              <w:spacing w:after="0" w:line="240" w:lineRule="auto"/>
              <w:jc w:val="center"/>
              <w:rPr>
                <w:rFonts w:ascii="Arial" w:hAnsi="Arial" w:eastAsia="Times New Roman" w:cs="Arial"/>
                <w:spacing w:val="-3"/>
                <w:sz w:val="20"/>
                <w:lang w:eastAsia="hi-IN" w:bidi="hi-IN"/>
              </w:rPr>
            </w:pPr>
          </w:p>
        </w:tc>
      </w:tr>
    </w:tbl>
    <w:p>
      <w:pPr>
        <w:tabs>
          <w:tab w:val="center" w:pos="2164"/>
        </w:tabs>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rPr>
          <w:rFonts w:ascii="Arial" w:hAnsi="Arial" w:eastAsia="Times New Roman" w:cs="Arial"/>
          <w:sz w:val="18"/>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Las fórmulas a aplicar serán las siguientes:</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Solvencia:</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Activo corriente / Pasivo corriente</w:t>
      </w:r>
    </w:p>
    <w:p>
      <w:pPr>
        <w:suppressAutoHyphens/>
        <w:spacing w:after="0" w:line="240" w:lineRule="auto"/>
        <w:rPr>
          <w:rFonts w:ascii="Arial" w:hAnsi="Arial" w:eastAsia="Times New Roman" w:cs="Arial"/>
          <w:sz w:val="20"/>
          <w:szCs w:val="20"/>
          <w:lang w:eastAsia="hi-IN" w:bidi="hi-IN"/>
        </w:rPr>
      </w:pP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Endeudamiento:</w:t>
      </w:r>
    </w:p>
    <w:p>
      <w:pPr>
        <w:suppressAutoHyphens/>
        <w:spacing w:after="0" w:line="240" w:lineRule="auto"/>
        <w:rPr>
          <w:rFonts w:ascii="Arial" w:hAnsi="Arial" w:eastAsia="Times New Roman" w:cs="Arial"/>
          <w:sz w:val="20"/>
          <w:szCs w:val="20"/>
          <w:lang w:eastAsia="hi-IN" w:bidi="hi-IN"/>
        </w:rPr>
      </w:pPr>
      <w:r>
        <w:rPr>
          <w:rFonts w:ascii="Arial" w:hAnsi="Arial" w:eastAsia="Times New Roman" w:cs="Arial"/>
          <w:sz w:val="20"/>
          <w:szCs w:val="20"/>
          <w:lang w:eastAsia="hi-IN" w:bidi="hi-IN"/>
        </w:rPr>
        <w:tab/>
      </w:r>
      <w:r>
        <w:rPr>
          <w:rFonts w:ascii="Arial" w:hAnsi="Arial" w:eastAsia="Times New Roman" w:cs="Arial"/>
          <w:sz w:val="20"/>
          <w:szCs w:val="20"/>
          <w:lang w:eastAsia="hi-IN" w:bidi="hi-IN"/>
        </w:rPr>
        <w:t>Pasivo total / Activo total</w:t>
      </w:r>
    </w:p>
    <w:p>
      <w:pPr>
        <w:spacing w:after="0" w:line="240" w:lineRule="auto"/>
        <w:jc w:val="both"/>
        <w:rPr>
          <w:rFonts w:ascii="Arial" w:hAnsi="Arial" w:eastAsia="Times New Roman" w:cs="Arial"/>
          <w:sz w:val="18"/>
          <w:lang w:eastAsia="hi-IN" w:bidi="hi-IN"/>
        </w:rPr>
      </w:pPr>
    </w:p>
    <w:p>
      <w:pPr>
        <w:spacing w:after="0" w:line="240" w:lineRule="auto"/>
        <w:jc w:val="both"/>
        <w:rPr>
          <w:rFonts w:ascii="Arial" w:hAnsi="Arial" w:eastAsia="Times New Roman" w:cs="Arial"/>
          <w:sz w:val="18"/>
          <w:lang w:eastAsia="hi-IN" w:bidi="hi-IN"/>
        </w:rPr>
      </w:pPr>
      <w:r>
        <w:rPr>
          <w:rFonts w:ascii="Arial" w:hAnsi="Arial" w:eastAsia="Times New Roman" w:cs="Arial"/>
          <w:sz w:val="20"/>
          <w:lang w:eastAsia="hi-IN" w:bidi="hi-IN"/>
        </w:rPr>
        <w:t>Estructural:</w:t>
      </w:r>
    </w:p>
    <w:p>
      <w:pPr>
        <w:spacing w:after="0" w:line="240" w:lineRule="auto"/>
        <w:ind w:firstLine="708"/>
        <w:jc w:val="both"/>
        <w:rPr>
          <w:rFonts w:ascii="Arial" w:hAnsi="Arial" w:eastAsia="Times New Roman" w:cs="Arial"/>
          <w:b/>
          <w:sz w:val="18"/>
          <w:lang w:eastAsia="hi-IN" w:bidi="hi-IN"/>
        </w:rPr>
      </w:pPr>
      <w:r>
        <w:rPr>
          <w:rFonts w:ascii="Arial" w:hAnsi="Arial" w:eastAsia="Times New Roman" w:cs="Arial"/>
          <w:sz w:val="20"/>
          <w:lang w:eastAsia="hi-IN" w:bidi="hi-IN"/>
        </w:rPr>
        <w:t>Patrimonio / Activo Total</w:t>
      </w:r>
    </w:p>
    <w:p>
      <w:pPr>
        <w:spacing w:after="0" w:line="240" w:lineRule="auto"/>
        <w:jc w:val="both"/>
        <w:rPr>
          <w:rFonts w:ascii="Arial" w:hAnsi="Arial" w:eastAsia="Times New Roman" w:cs="Arial"/>
          <w:b/>
          <w:sz w:val="18"/>
          <w:lang w:eastAsia="hi-IN" w:bidi="hi-IN"/>
        </w:rPr>
      </w:pPr>
    </w:p>
    <w:p>
      <w:pPr>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Nota: El incumplimiento de alguno de los índices financieros será causal de descalificación de  la oferta.</w:t>
      </w:r>
      <w:r>
        <w:rPr>
          <w:rFonts w:ascii="Arial" w:hAnsi="Arial" w:eastAsia="Times New Roman" w:cs="Arial"/>
          <w:b/>
          <w:sz w:val="18"/>
          <w:lang w:eastAsia="hi-IN" w:bidi="hi-IN"/>
        </w:rPr>
        <w:br w:type="page"/>
      </w:r>
      <w:r>
        <w:rPr>
          <w:rFonts w:ascii="Arial" w:hAnsi="Arial" w:eastAsia="Times New Roman" w:cs="Arial"/>
          <w:b/>
          <w:sz w:val="18"/>
          <w:lang w:eastAsia="hi-IN" w:bidi="hi-IN"/>
        </w:rPr>
        <w:t>1.4</w:t>
      </w:r>
      <w:r>
        <w:rPr>
          <w:rFonts w:ascii="Arial" w:hAnsi="Arial" w:eastAsia="Times New Roman" w:cs="Arial"/>
          <w:b/>
          <w:sz w:val="18"/>
          <w:lang w:eastAsia="hi-IN" w:bidi="hi-IN"/>
        </w:rPr>
        <w:tab/>
      </w:r>
      <w:r>
        <w:rPr>
          <w:rFonts w:ascii="Arial" w:hAnsi="Arial" w:eastAsia="Times New Roman" w:cs="Arial"/>
          <w:b/>
          <w:sz w:val="18"/>
          <w:lang w:eastAsia="hi-IN" w:bidi="hi-IN"/>
        </w:rPr>
        <w:t>TABLA DE DESCRIPCIÓN DE RUBROS, UNIDADES, CANTIDADES Y PRECIOS</w:t>
      </w:r>
    </w:p>
    <w:p>
      <w:pPr>
        <w:suppressAutoHyphens/>
        <w:spacing w:after="0" w:line="240" w:lineRule="auto"/>
        <w:ind w:left="15" w:right="45"/>
        <w:rPr>
          <w:rFonts w:ascii="Arial" w:hAnsi="Arial" w:eastAsia="Times New Roman" w:cs="Arial"/>
          <w:b/>
          <w:spacing w:val="-3"/>
          <w:sz w:val="18"/>
          <w:lang w:eastAsia="hi-IN" w:bidi="hi-IN"/>
        </w:rPr>
      </w:pPr>
    </w:p>
    <w:p>
      <w:pPr>
        <w:suppressAutoHyphens/>
        <w:spacing w:after="0" w:line="240" w:lineRule="auto"/>
        <w:jc w:val="both"/>
        <w:rPr>
          <w:rFonts w:ascii="Arial" w:hAnsi="Arial" w:eastAsia="Times New Roman" w:cs="Arial"/>
          <w:sz w:val="20"/>
          <w:szCs w:val="20"/>
          <w:lang w:val="es-ES" w:eastAsia="hi-IN" w:bidi="hi-IN"/>
        </w:rPr>
      </w:pPr>
    </w:p>
    <w:p>
      <w:pPr>
        <w:suppressAutoHyphens/>
        <w:spacing w:after="0" w:line="240" w:lineRule="auto"/>
        <w:jc w:val="both"/>
        <w:rPr>
          <w:rFonts w:ascii="Arial" w:hAnsi="Arial" w:eastAsia="Times New Roman" w:cs="Arial"/>
          <w:sz w:val="18"/>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 HONORATO DE BALZAC ENTRE CIRCUNVALACIÓN SUR Y FERNAN CABALLERO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63"/>
        <w:gridCol w:w="4757"/>
        <w:gridCol w:w="762"/>
        <w:gridCol w:w="902"/>
        <w:gridCol w:w="965"/>
        <w:gridCol w:w="986"/>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63"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5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6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02"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65"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6"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63"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5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6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159.58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61.09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26.18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212.10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Tapón HF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a 2 m, incluye encofrado metálico, excluye tapa, cerco y/o brocal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PVC para alcantarillado, varias dimensiones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Tuberia PVC para alcantarillado U/E D=200mm serie 5, tipo B,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302.48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3,502.25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39.43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38.02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731.00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18.49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272.72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2,909.92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90.22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210.53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132.46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1,451.25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66.85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6.47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232.78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2,416.45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143.67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164.71</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658.85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81.27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58.95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19.68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290.25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96.86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406.35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0.54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8,317.96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672.33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35.45</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514.24</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599.60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253.97</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152.38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(e=3") Ho Asf. mezclado en planta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1,015.88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6,055.96</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51.42</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435.38</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217.69</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725.63</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145.00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63"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5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6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0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65"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8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65"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6"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FERNAN CABALLERO Y SIN NOMBRE ENTRE HONORATO DE BALZAC Y RETORNO DE LA FERNAN CABALLERO</w:t>
      </w:r>
    </w:p>
    <w:p>
      <w:pPr>
        <w:suppressAutoHyphens/>
        <w:spacing w:after="0" w:line="240" w:lineRule="auto"/>
        <w:jc w:val="both"/>
        <w:rPr>
          <w:rFonts w:ascii="Arial" w:hAnsi="Arial" w:eastAsia="Times New Roman" w:cs="Arial"/>
          <w:b/>
          <w:sz w:val="18"/>
          <w:lang w:eastAsia="hi-IN" w:bidi="hi-IN"/>
        </w:rPr>
      </w:pPr>
    </w:p>
    <w:tbl>
      <w:tblPr>
        <w:tblStyle w:val="46"/>
        <w:tblW w:w="9370" w:type="dxa"/>
        <w:tblInd w:w="0" w:type="dxa"/>
        <w:tblLayout w:type="fixed"/>
        <w:tblCellMar>
          <w:top w:w="0" w:type="dxa"/>
          <w:left w:w="70" w:type="dxa"/>
          <w:bottom w:w="0" w:type="dxa"/>
          <w:right w:w="70" w:type="dxa"/>
        </w:tblCellMar>
      </w:tblPr>
      <w:tblGrid>
        <w:gridCol w:w="936"/>
        <w:gridCol w:w="4724"/>
        <w:gridCol w:w="772"/>
        <w:gridCol w:w="937"/>
        <w:gridCol w:w="980"/>
        <w:gridCol w:w="1021"/>
      </w:tblGrid>
      <w:tr>
        <w:tblPrEx>
          <w:tblLayout w:type="fixed"/>
          <w:tblCellMar>
            <w:top w:w="0" w:type="dxa"/>
            <w:left w:w="70" w:type="dxa"/>
            <w:bottom w:w="0" w:type="dxa"/>
            <w:right w:w="70" w:type="dxa"/>
          </w:tblCellMar>
        </w:tblPrEx>
        <w:trPr>
          <w:trHeight w:val="270" w:hRule="atLeast"/>
        </w:trPr>
        <w:tc>
          <w:tcPr>
            <w:tcW w:w="9370"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36"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724"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772"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37"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8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1021"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36"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724"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772"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386.18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106.46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165.51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45.63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151.92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2-4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156.47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625.89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63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Tee PVC d = 110 x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110 mm, U/E  1 MPA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1/2"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110 mm x 3/4" Importado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 a 2.5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2.5 a 3 m, incluye encofrado metálico, excluye tapa, cerco y/o brocal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48.53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890.87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77.42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10,269.82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TELEFONICA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59.33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236.50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2.11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5.59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4.82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0.09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1,323.42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CANALIZACION ELECTRICA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348.60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31.28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2,818.65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727.24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0.92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130.68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449.69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4,668.07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449.31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198.80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795.20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232.97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108.49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ciclópeo (60% H.S. y 40% piedra)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17.39</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832.05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277.67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1,164.87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39.86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19.93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10,039.40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y destroncamiento de árbol con motosierra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521.84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metálico recto para muros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1.55</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Replanteo y nivelación de vías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320.10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63.80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414.70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33.33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383.90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5,758.50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 de gaviones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220.00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Geotextil NT 1600,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275.00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PAVIMENTACION FLEXIBLE</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1,924.37</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2,243.81</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1,019.26</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582.44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2,912.18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22,662.48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192.44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SEÑALIZACION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vertical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1,248.08</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67.73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624.04</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33.00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2,080.13</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Bloques de hormigón para protección de vias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416.00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7,015</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36"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724"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772"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93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1021"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7369"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80"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1021"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suppressAutoHyphens/>
        <w:spacing w:after="0" w:line="240" w:lineRule="auto"/>
        <w:jc w:val="both"/>
        <w:rPr>
          <w:rFonts w:ascii="Arial" w:hAnsi="Arial" w:eastAsia="Times New Roman" w:cs="Arial"/>
          <w:b/>
          <w:bCs/>
          <w:color w:val="FF0000"/>
          <w:sz w:val="20"/>
          <w:szCs w:val="20"/>
          <w:lang w:val="es-ES" w:eastAsia="hi-IN" w:bidi="hi-IN"/>
        </w:rPr>
      </w:pPr>
    </w:p>
    <w:p>
      <w:pPr>
        <w:suppressAutoHyphens/>
        <w:spacing w:after="0" w:line="240" w:lineRule="auto"/>
        <w:jc w:val="both"/>
        <w:rPr>
          <w:rFonts w:ascii="Arial" w:hAnsi="Arial" w:eastAsia="Times New Roman" w:cs="Arial"/>
          <w:b/>
          <w:sz w:val="18"/>
          <w:lang w:eastAsia="hi-IN" w:bidi="hi-IN"/>
        </w:rPr>
      </w:pPr>
      <w:r>
        <w:rPr>
          <w:rFonts w:ascii="Arial" w:hAnsi="Arial" w:eastAsia="Times New Roman" w:cs="Arial"/>
          <w:b/>
          <w:sz w:val="18"/>
          <w:lang w:eastAsia="hi-IN" w:bidi="hi-IN"/>
        </w:rPr>
        <w:t>CALLES SIN NOMBRE Y HORACIO ENTRE JULIO VERNE Y HORACIO (FILO DE PAVIMENTO)</w:t>
      </w:r>
    </w:p>
    <w:p>
      <w:pPr>
        <w:suppressAutoHyphens/>
        <w:spacing w:after="0" w:line="240" w:lineRule="auto"/>
        <w:jc w:val="both"/>
        <w:rPr>
          <w:rFonts w:ascii="Arial" w:hAnsi="Arial" w:eastAsia="Times New Roman" w:cs="Arial"/>
          <w:b/>
          <w:bCs/>
          <w:color w:val="FF0000"/>
          <w:sz w:val="20"/>
          <w:szCs w:val="20"/>
          <w:lang w:val="es-ES" w:eastAsia="hi-IN" w:bidi="hi-IN"/>
        </w:rPr>
      </w:pPr>
    </w:p>
    <w:tbl>
      <w:tblPr>
        <w:tblStyle w:val="46"/>
        <w:tblW w:w="9335" w:type="dxa"/>
        <w:tblInd w:w="0" w:type="dxa"/>
        <w:tblLayout w:type="fixed"/>
        <w:tblCellMar>
          <w:top w:w="0" w:type="dxa"/>
          <w:left w:w="70" w:type="dxa"/>
          <w:bottom w:w="0" w:type="dxa"/>
          <w:right w:w="70" w:type="dxa"/>
        </w:tblCellMar>
      </w:tblPr>
      <w:tblGrid>
        <w:gridCol w:w="987"/>
        <w:gridCol w:w="4677"/>
        <w:gridCol w:w="849"/>
        <w:gridCol w:w="851"/>
        <w:gridCol w:w="991"/>
        <w:gridCol w:w="980"/>
      </w:tblGrid>
      <w:tr>
        <w:tblPrEx>
          <w:tblLayout w:type="fixed"/>
          <w:tblCellMar>
            <w:top w:w="0" w:type="dxa"/>
            <w:left w:w="70" w:type="dxa"/>
            <w:bottom w:w="0" w:type="dxa"/>
            <w:right w:w="70" w:type="dxa"/>
          </w:tblCellMar>
        </w:tblPrEx>
        <w:trPr>
          <w:trHeight w:val="270" w:hRule="atLeast"/>
        </w:trPr>
        <w:tc>
          <w:tcPr>
            <w:tcW w:w="9335" w:type="dxa"/>
            <w:gridSpan w:val="6"/>
            <w:tcBorders>
              <w:top w:val="single" w:color="auto" w:sz="8" w:space="0"/>
              <w:left w:val="single" w:color="auto" w:sz="8" w:space="0"/>
              <w:bottom w:val="single" w:color="auto" w:sz="8" w:space="0"/>
              <w:right w:val="single" w:color="000000" w:sz="8" w:space="0"/>
            </w:tcBorders>
            <w:shd w:val="clear" w:color="000000" w:fill="D9D9D9"/>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PRESUPUESTO</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tcPr>
          <w:p>
            <w:pPr>
              <w:spacing w:after="0" w:line="240" w:lineRule="auto"/>
              <w:rPr>
                <w:rFonts w:ascii="Arial" w:hAnsi="Arial" w:eastAsia="Times New Roman" w:cs="Arial"/>
                <w:b/>
                <w:bCs/>
                <w:sz w:val="16"/>
                <w:szCs w:val="16"/>
              </w:rPr>
            </w:pPr>
            <w:r>
              <w:rPr>
                <w:rFonts w:ascii="Arial" w:hAnsi="Arial" w:eastAsia="Times New Roman" w:cs="Arial"/>
                <w:b/>
                <w:bCs/>
                <w:sz w:val="16"/>
                <w:szCs w:val="16"/>
              </w:rPr>
              <w:t>Item</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Descripción</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Unidad</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Cantidad</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Arial" w:hAnsi="Arial" w:eastAsia="Times New Roman" w:cs="Arial"/>
                <w:b/>
                <w:bCs/>
                <w:sz w:val="16"/>
                <w:szCs w:val="16"/>
              </w:rPr>
            </w:pPr>
            <w:r>
              <w:rPr>
                <w:rFonts w:ascii="Arial" w:hAnsi="Arial" w:eastAsia="Times New Roman" w:cs="Arial"/>
                <w:b/>
                <w:bCs/>
                <w:sz w:val="16"/>
                <w:szCs w:val="16"/>
              </w:rPr>
              <w:t>P.Unitario</w:t>
            </w: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P.Total</w:t>
            </w:r>
          </w:p>
        </w:tc>
      </w:tr>
      <w:tr>
        <w:tblPrEx>
          <w:tblLayout w:type="fixed"/>
          <w:tblCellMar>
            <w:top w:w="0" w:type="dxa"/>
            <w:left w:w="70" w:type="dxa"/>
            <w:bottom w:w="0" w:type="dxa"/>
            <w:right w:w="70" w:type="dxa"/>
          </w:tblCellMar>
        </w:tblPrEx>
        <w:trPr>
          <w:trHeight w:val="255" w:hRule="atLeast"/>
        </w:trPr>
        <w:tc>
          <w:tcPr>
            <w:tcW w:w="987"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001</w:t>
            </w:r>
          </w:p>
        </w:tc>
        <w:tc>
          <w:tcPr>
            <w:tcW w:w="4677" w:type="dxa"/>
            <w:tcBorders>
              <w:top w:val="nil"/>
              <w:left w:val="nil"/>
              <w:bottom w:val="single" w:color="auto" w:sz="4" w:space="0"/>
              <w:right w:val="single" w:color="auto" w:sz="4" w:space="0"/>
            </w:tcBorders>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OBRAS HIDROSANITARIAS</w:t>
            </w:r>
          </w:p>
        </w:tc>
        <w:tc>
          <w:tcPr>
            <w:tcW w:w="849"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85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991"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c>
          <w:tcPr>
            <w:tcW w:w="98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alibri" w:hAnsi="Calibri" w:eastAsia="Times New Roman" w:cs="Calibri"/>
                <w:color w:val="000000"/>
                <w:sz w:val="20"/>
                <w:szCs w:val="20"/>
              </w:rPr>
            </w:pPr>
          </w:p>
        </w:tc>
      </w:tr>
      <w:tr>
        <w:tblPrEx>
          <w:tblLayout w:type="fixed"/>
          <w:tblCellMar>
            <w:top w:w="0" w:type="dxa"/>
            <w:left w:w="70" w:type="dxa"/>
            <w:bottom w:w="0" w:type="dxa"/>
            <w:right w:w="70" w:type="dxa"/>
          </w:tblCellMar>
        </w:tblPrEx>
        <w:trPr>
          <w:trHeight w:val="270" w:hRule="atLeast"/>
        </w:trPr>
        <w:tc>
          <w:tcPr>
            <w:tcW w:w="987"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w:t>
            </w:r>
          </w:p>
        </w:tc>
        <w:tc>
          <w:tcPr>
            <w:tcW w:w="4677" w:type="dxa"/>
            <w:tcBorders>
              <w:top w:val="nil"/>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MECANICAS</w:t>
            </w:r>
          </w:p>
        </w:tc>
        <w:tc>
          <w:tcPr>
            <w:tcW w:w="84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130.94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56.11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2-4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EXCAVACIONES MANUALES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46.81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182.78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Codo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de reparación PVC d = 63 mm, U/E  1 MPA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DOMICILIARIAS DE AGUA POTABLE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1/2"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Collarín HF d = 63 mm x 3/4" Importado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Toma de incorporación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Tubo de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Unión cobre cobre d =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vereda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1/2"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Llave de corte 3/4"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REDES DE ALCANTARILLADO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200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300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400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500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de hormigón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h = 1.5 m, incluye encofrado metálico, excluye tapa, cerco y/o brocal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till d = 300 mm, incluye cerco y tapa con platina perimetral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Pozo de revisión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Rejilla para sumidero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Caja para sumidero en calles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Recuperación de pozo, d = 600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Brocal de hormigón para pozos (h=20cm) y tapa (h=10cm) cónicos, D=700mm, Tipo 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Reparación domiciliaria de alcantarillado, incluye excavación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257.79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22.11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2,975.56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1,006,022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CANALIZACIÓN TELEFONICA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conglomerado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38.37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conglomerado,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23.02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9.73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4.59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15.44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1.03</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Acero de refuerzo, fy=4200Kg/cm2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kg</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pozo de revisión HF</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50 x 50 cm con platina perimetral 2x1/8"</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4.65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858.61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Catastro de obras hidrosanitarias y telefónicas aprobadas por ETAPA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ILUMINACIÓN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zanja 0-2 m,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131.57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retroexcavadora, zanja 0-2 m, material sin clasificar, cuchara 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197.35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116.15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 en zanjas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14.31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Tubería PVC para ducto telefónico, d = 110 mm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1,762.46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23.36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Enlucido con mortero 1:3</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93.44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Encofrado de madera recto para caja de teléfonos (2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379.97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1.17</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Hormigón Simple f´c = 140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68.28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Tendido de politubo 1 1/2" reforzado (punta roja)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254.58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2,642.72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1.05x1.05x0.08 m con cerco y platina perimetral de 1/4" (tapa 2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Tapa de H A de 1.35x1.35x0.08 m con cerco y platina perimetral de 1/4" (tapa dos cuerpos)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MUROS VEREDAS Y BORDILLOS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136.22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51.68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206.70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sitio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5.40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compactado con material de mejoramiento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71.99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Replantillo de piedra e = 15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7.45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piedra costureada con mortero 1:4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13.29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Bordillo incorporado de 10x30 cm, f´c = 210Kg/cm2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292.41</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electrosoldada R-84</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85.80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Losa de hormigón simple e = 5 cm, f´c = 210 kg/cm2</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359.96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Curado de superficie con aditivo químico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389.20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Corte y sellado de juntas con emulsión asfáltica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194.60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losa de vereda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Retiro de replantillo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manual de mampostería de piedra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bordillo de hormigón de hasta 15x40 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8.60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2,609.64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4,019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hormigón simple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Mampostería de ladrillo ancho 15 cm con mortero 1:3, costureado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112.22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Demolición de estructuras de cerramiento, incluye vigas, columnas y mamposterías de ladrillo y/o bloque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0.32</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minicargadora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4,025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PAVIMENTACIÓN FLEXIBLE</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a máquina con retroexcavadora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678.79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791.46</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incluye pago en escombrera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Subrasante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Mejoramiento,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251.84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Base Clase II conformación y compactación con equipo pesado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167.90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Imprimación asfáltica con barrido mecánico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Carpeta asfáltica (e=2") Ho Asf. mezclado en planta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839.49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Distancia &gt;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m3-km</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7,993.75</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Excavación manual material sin clasificar</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67.88</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con cargadora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Cargado de material manualmente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Transporte de materiales hasta 6 Km  (medido en banco)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para señalización de tráfico, manual, franja de hasta 15cm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517.09</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Pintura pasos cebra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37.20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IMPACTOS AMBIENTALES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Valla de advertencia de obras y desvío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Señalización con cinta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271.70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Parante con base de hormigón, 20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19.00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Pasos peatonales de tabla</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7,005</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Cobertura de plástico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655.64</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7,006</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Letrero de Información del Proyecto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7,007</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Difusión Social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global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Basurero de acero inoxidable para poste, suministro y colocación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3.00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7,009</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Vía Cerrada / señal vertical  0.75 x 1.20 x 1.8m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7,010</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Caballete de bastidor metálico con bisagra, tool, cadena, incluye lona dos caras impresión a full color, suministro e instalación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Malla plástica de seguridad K0001, suministro e instalación, 5 usos</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ml</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181.00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0.60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7,013</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0.75 x 0.75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7,014</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Suministro e instalación Letrero Preventivo/señal vertical  0.9 x 1.50 x 1.80 m</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u</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1.00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ARBORIZACIÓN</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8,001</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Relleno de tierra vegetal</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m3</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4.20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8,002</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Siembra de kikuyo</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m2</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28.00</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r>
        <w:tblPrEx>
          <w:tblLayout w:type="fixed"/>
          <w:tblCellMar>
            <w:top w:w="0" w:type="dxa"/>
            <w:left w:w="70" w:type="dxa"/>
            <w:bottom w:w="0" w:type="dxa"/>
            <w:right w:w="70" w:type="dxa"/>
          </w:tblCellMar>
        </w:tblPrEx>
        <w:trPr>
          <w:trHeight w:val="270" w:hRule="atLeast"/>
        </w:trPr>
        <w:tc>
          <w:tcPr>
            <w:tcW w:w="987" w:type="dxa"/>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4677"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rPr>
                <w:rFonts w:ascii="Arial" w:hAnsi="Arial" w:eastAsia="Times New Roman" w:cs="Arial"/>
                <w:sz w:val="16"/>
                <w:szCs w:val="16"/>
              </w:rPr>
            </w:pPr>
            <w:r>
              <w:rPr>
                <w:rFonts w:ascii="Arial" w:hAnsi="Arial" w:eastAsia="Times New Roman" w:cs="Arial"/>
                <w:sz w:val="16"/>
                <w:szCs w:val="16"/>
              </w:rPr>
              <w:t> </w:t>
            </w:r>
          </w:p>
        </w:tc>
        <w:tc>
          <w:tcPr>
            <w:tcW w:w="849"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center"/>
              <w:rPr>
                <w:rFonts w:ascii="Arial" w:hAnsi="Arial" w:eastAsia="Times New Roman" w:cs="Arial"/>
                <w:sz w:val="16"/>
                <w:szCs w:val="16"/>
              </w:rPr>
            </w:pPr>
            <w:r>
              <w:rPr>
                <w:rFonts w:ascii="Arial" w:hAnsi="Arial" w:eastAsia="Times New Roman" w:cs="Arial"/>
                <w:sz w:val="16"/>
                <w:szCs w:val="16"/>
              </w:rPr>
              <w:t> </w:t>
            </w:r>
          </w:p>
        </w:tc>
        <w:tc>
          <w:tcPr>
            <w:tcW w:w="85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91" w:type="dxa"/>
            <w:tcBorders>
              <w:top w:val="single" w:color="auto" w:sz="4" w:space="0"/>
              <w:left w:val="nil"/>
              <w:bottom w:val="single" w:color="auto" w:sz="8" w:space="0"/>
              <w:right w:val="single" w:color="auto" w:sz="4"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single" w:color="auto" w:sz="4" w:space="0"/>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7364" w:type="dxa"/>
            <w:gridSpan w:val="4"/>
            <w:tcBorders>
              <w:top w:val="single" w:color="auto" w:sz="8" w:space="0"/>
              <w:left w:val="single" w:color="auto" w:sz="8" w:space="0"/>
              <w:bottom w:val="single" w:color="auto" w:sz="8" w:space="0"/>
              <w:right w:val="nil"/>
            </w:tcBorders>
            <w:shd w:val="clear" w:color="auto" w:fill="auto"/>
            <w:vAlign w:val="bottom"/>
          </w:tcPr>
          <w:p>
            <w:pPr>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t>SUBTOTAL</w:t>
            </w:r>
          </w:p>
        </w:tc>
        <w:tc>
          <w:tcPr>
            <w:tcW w:w="991" w:type="dxa"/>
            <w:tcBorders>
              <w:top w:val="nil"/>
              <w:left w:val="nil"/>
              <w:bottom w:val="single" w:color="auto" w:sz="8" w:space="0"/>
              <w:right w:val="nil"/>
            </w:tcBorders>
            <w:shd w:val="clear" w:color="auto" w:fill="auto"/>
            <w:vAlign w:val="bottom"/>
          </w:tcPr>
          <w:p>
            <w:pPr>
              <w:spacing w:after="0" w:line="240" w:lineRule="auto"/>
              <w:jc w:val="right"/>
              <w:rPr>
                <w:rFonts w:ascii="Arial" w:hAnsi="Arial" w:eastAsia="Times New Roman" w:cs="Arial"/>
                <w:sz w:val="16"/>
                <w:szCs w:val="16"/>
              </w:rPr>
            </w:pPr>
            <w:r>
              <w:rPr>
                <w:rFonts w:ascii="Arial" w:hAnsi="Arial" w:eastAsia="Times New Roman" w:cs="Arial"/>
                <w:sz w:val="16"/>
                <w:szCs w:val="16"/>
              </w:rPr>
              <w:t> </w:t>
            </w:r>
          </w:p>
        </w:tc>
        <w:tc>
          <w:tcPr>
            <w:tcW w:w="98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Arial" w:hAnsi="Arial" w:eastAsia="Times New Roman" w:cs="Arial"/>
                <w:sz w:val="16"/>
                <w:szCs w:val="16"/>
              </w:rPr>
            </w:pPr>
          </w:p>
        </w:tc>
      </w:tr>
    </w:tbl>
    <w:p>
      <w:pPr>
        <w:widowControl w:val="0"/>
        <w:suppressAutoHyphens/>
        <w:spacing w:after="0" w:line="240" w:lineRule="auto"/>
        <w:ind w:left="15" w:right="45"/>
        <w:jc w:val="both"/>
        <w:rPr>
          <w:rFonts w:ascii="Arial" w:hAnsi="Arial" w:eastAsia="Times New Roman" w:cs="Arial"/>
          <w:sz w:val="18"/>
          <w:lang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p>
    <w:p>
      <w:pPr>
        <w:widowControl w:val="0"/>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PRECIO TOTAL DE LA OFERTA: (</w:t>
      </w:r>
      <w:r>
        <w:rPr>
          <w:rFonts w:ascii="Arial" w:hAnsi="Arial" w:eastAsia="Times New Roman" w:cs="Arial"/>
          <w:i/>
          <w:sz w:val="18"/>
          <w:lang w:eastAsia="hi-IN" w:bidi="hi-IN"/>
        </w:rPr>
        <w:t>en números</w:t>
      </w:r>
      <w:r>
        <w:rPr>
          <w:rFonts w:ascii="Arial" w:hAnsi="Arial" w:eastAsia="Times New Roman" w:cs="Arial"/>
          <w:sz w:val="18"/>
          <w:lang w:eastAsia="hi-IN" w:bidi="hi-IN"/>
        </w:rPr>
        <w:t>), sin IVA</w:t>
      </w:r>
    </w:p>
    <w:p>
      <w:pPr>
        <w:spacing w:after="0" w:line="240" w:lineRule="auto"/>
        <w:rPr>
          <w:rFonts w:ascii="Arial" w:hAnsi="Arial" w:eastAsia="Times New Roman" w:cs="Arial"/>
          <w:b/>
          <w:spacing w:val="-2"/>
          <w:sz w:val="20"/>
          <w:lang w:eastAsia="hi-IN" w:bidi="hi-IN"/>
        </w:rPr>
      </w:pPr>
      <w:r>
        <w:rPr>
          <w:rFonts w:ascii="Arial" w:hAnsi="Arial" w:eastAsia="Times New Roman" w:cs="Arial"/>
          <w:sz w:val="18"/>
          <w:lang w:eastAsia="hi-IN" w:bidi="hi-IN"/>
        </w:rPr>
        <w:br w:type="page"/>
      </w:r>
      <w:r>
        <w:rPr>
          <w:rFonts w:ascii="Arial" w:hAnsi="Arial" w:eastAsia="Times New Roman" w:cs="Arial"/>
          <w:b/>
          <w:spacing w:val="-2"/>
          <w:sz w:val="20"/>
          <w:lang w:eastAsia="hi-IN" w:bidi="hi-IN"/>
        </w:rPr>
        <w:t>1.5</w:t>
      </w:r>
      <w:r>
        <w:rPr>
          <w:rFonts w:ascii="Arial" w:hAnsi="Arial" w:eastAsia="Times New Roman" w:cs="Arial"/>
          <w:b/>
          <w:spacing w:val="-2"/>
          <w:sz w:val="20"/>
          <w:lang w:eastAsia="hi-IN" w:bidi="hi-IN"/>
        </w:rPr>
        <w:tab/>
      </w:r>
      <w:r>
        <w:rPr>
          <w:rFonts w:ascii="Arial" w:hAnsi="Arial" w:eastAsia="Times New Roman" w:cs="Arial"/>
          <w:b/>
          <w:spacing w:val="-2"/>
          <w:sz w:val="20"/>
          <w:lang w:eastAsia="hi-IN" w:bidi="hi-IN"/>
        </w:rPr>
        <w:t>ANALISIS DE PRECIOS UNITARIOS</w:t>
      </w:r>
    </w:p>
    <w:p>
      <w:pPr>
        <w:tabs>
          <w:tab w:val="center" w:pos="2164"/>
        </w:tabs>
        <w:suppressAutoHyphens/>
        <w:spacing w:after="0" w:line="240" w:lineRule="auto"/>
        <w:ind w:left="15" w:right="45"/>
        <w:jc w:val="center"/>
        <w:rPr>
          <w:rFonts w:ascii="Arial" w:hAnsi="Arial" w:eastAsia="Times New Roman" w:cs="Arial"/>
          <w:spacing w:val="-2"/>
          <w:sz w:val="20"/>
          <w:lang w:eastAsia="hi-IN" w:bidi="hi-IN"/>
        </w:rPr>
      </w:pPr>
    </w:p>
    <w:tbl>
      <w:tblPr>
        <w:tblStyle w:val="46"/>
        <w:tblW w:w="9420" w:type="dxa"/>
        <w:tblInd w:w="55" w:type="dxa"/>
        <w:tblLayout w:type="fixed"/>
        <w:tblCellMar>
          <w:top w:w="0" w:type="dxa"/>
          <w:left w:w="70" w:type="dxa"/>
          <w:bottom w:w="0" w:type="dxa"/>
          <w:right w:w="70" w:type="dxa"/>
        </w:tblCellMar>
      </w:tblPr>
      <w:tblGrid>
        <w:gridCol w:w="1665"/>
        <w:gridCol w:w="1821"/>
        <w:gridCol w:w="1117"/>
        <w:gridCol w:w="1454"/>
        <w:gridCol w:w="1184"/>
        <w:gridCol w:w="1429"/>
        <w:gridCol w:w="750"/>
      </w:tblGrid>
      <w:tr>
        <w:tblPrEx>
          <w:tblLayout w:type="fixed"/>
          <w:tblCellMar>
            <w:top w:w="0" w:type="dxa"/>
            <w:left w:w="70" w:type="dxa"/>
            <w:bottom w:w="0" w:type="dxa"/>
            <w:right w:w="70" w:type="dxa"/>
          </w:tblCellMar>
        </w:tblPrEx>
        <w:trPr>
          <w:trHeight w:val="300" w:hRule="atLeast"/>
        </w:trPr>
        <w:tc>
          <w:tcPr>
            <w:tcW w:w="9420" w:type="dxa"/>
            <w:gridSpan w:val="7"/>
            <w:tcBorders>
              <w:top w:val="nil"/>
              <w:left w:val="nil"/>
              <w:bottom w:val="nil"/>
              <w:right w:val="nil"/>
            </w:tcBorders>
            <w:shd w:val="clear" w:color="auto" w:fill="auto"/>
            <w:vAlign w:val="center"/>
          </w:tcPr>
          <w:p>
            <w:pPr>
              <w:spacing w:after="0" w:line="240" w:lineRule="auto"/>
              <w:jc w:val="center"/>
              <w:rPr>
                <w:rFonts w:ascii="Century Gothic" w:hAnsi="Century Gothic" w:eastAsia="Times New Roman" w:cs="Arial"/>
                <w:b/>
                <w:bCs/>
                <w:sz w:val="24"/>
                <w:szCs w:val="24"/>
              </w:rPr>
            </w:pPr>
            <w:r>
              <w:rPr>
                <w:rFonts w:ascii="Century Gothic" w:hAnsi="Century Gothic" w:eastAsia="Times New Roman" w:cs="Arial"/>
                <w:b/>
                <w:bCs/>
                <w:sz w:val="24"/>
                <w:szCs w:val="24"/>
              </w:rPr>
              <w:t>Análisis de  Precios  Unitarios</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Item:</w:t>
            </w: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c>
          <w:tcPr>
            <w:tcW w:w="1117"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45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1184"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p>
        </w:tc>
        <w:tc>
          <w:tcPr>
            <w:tcW w:w="1429"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c>
          <w:tcPr>
            <w:tcW w:w="750"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Descrip.:</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20"/>
                <w:szCs w:val="20"/>
              </w:rPr>
            </w:pPr>
            <w:r>
              <w:rPr>
                <w:rFonts w:ascii="Century Gothic" w:hAnsi="Century Gothic" w:eastAsia="Times New Roman" w:cs="Arial"/>
                <w:b/>
                <w:bCs/>
                <w:sz w:val="20"/>
                <w:szCs w:val="20"/>
              </w:rPr>
              <w:t>Unidad:</w:t>
            </w:r>
          </w:p>
        </w:tc>
        <w:tc>
          <w:tcPr>
            <w:tcW w:w="7755" w:type="dxa"/>
            <w:gridSpan w:val="6"/>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20"/>
                <w:szCs w:val="20"/>
              </w:rPr>
            </w:pPr>
            <w:r>
              <w:rPr>
                <w:rFonts w:ascii="Century Gothic" w:hAnsi="Century Gothic" w:eastAsia="Times New Roman" w:cs="Arial"/>
                <w:sz w:val="20"/>
                <w:szCs w:val="20"/>
              </w:rPr>
              <w:t>………</w:t>
            </w: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DIRECTOS</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Equipo y herramienta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ind w:firstLine="160" w:firstLineChars="100"/>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Equipo: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Materiales</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Precio</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Materiales: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Transporte</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Unidad</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Cantidad</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Tarifa/U</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Distancia</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300" w:hRule="atLeast"/>
        </w:trPr>
        <w:tc>
          <w:tcPr>
            <w:tcW w:w="1665" w:type="dxa"/>
            <w:tcBorders>
              <w:top w:val="single" w:color="auto" w:sz="4" w:space="0"/>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5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750" w:type="dxa"/>
            <w:tcBorders>
              <w:top w:val="single" w:color="auto" w:sz="4" w:space="0"/>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Transporte: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Mano de Obra</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Código</w:t>
            </w:r>
          </w:p>
        </w:tc>
        <w:tc>
          <w:tcPr>
            <w:tcW w:w="1821"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Descripción</w:t>
            </w:r>
          </w:p>
        </w:tc>
        <w:tc>
          <w:tcPr>
            <w:tcW w:w="1117"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Número</w:t>
            </w:r>
          </w:p>
        </w:tc>
        <w:tc>
          <w:tcPr>
            <w:tcW w:w="1184"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S.R.H.</w:t>
            </w:r>
          </w:p>
        </w:tc>
        <w:tc>
          <w:tcPr>
            <w:tcW w:w="1429" w:type="dxa"/>
            <w:tcBorders>
              <w:top w:val="nil"/>
              <w:left w:val="nil"/>
              <w:bottom w:val="single" w:color="auto" w:sz="8"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Rendim.</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Total</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85" w:hRule="atLeast"/>
        </w:trPr>
        <w:tc>
          <w:tcPr>
            <w:tcW w:w="1665" w:type="dxa"/>
            <w:tcBorders>
              <w:top w:val="nil"/>
              <w:left w:val="single" w:color="auto" w:sz="8" w:space="0"/>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sz w:val="16"/>
                <w:szCs w:val="16"/>
              </w:rPr>
            </w:pPr>
            <w:r>
              <w:rPr>
                <w:rFonts w:ascii="Century Gothic" w:hAnsi="Century Gothic" w:eastAsia="Times New Roman" w:cs="Arial"/>
                <w:sz w:val="16"/>
                <w:szCs w:val="16"/>
              </w:rPr>
              <w:t> </w:t>
            </w:r>
          </w:p>
        </w:tc>
        <w:tc>
          <w:tcPr>
            <w:tcW w:w="1821" w:type="dxa"/>
            <w:tcBorders>
              <w:top w:val="nil"/>
              <w:left w:val="nil"/>
              <w:bottom w:val="single" w:color="auto" w:sz="4" w:space="0"/>
              <w:right w:val="single" w:color="auto" w:sz="4" w:space="0"/>
            </w:tcBorders>
            <w:shd w:val="clear" w:color="auto" w:fill="auto"/>
            <w:vAlign w:val="bottom"/>
          </w:tcPr>
          <w:p>
            <w:pPr>
              <w:spacing w:after="0" w:line="240" w:lineRule="auto"/>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17" w:type="dxa"/>
            <w:tcBorders>
              <w:top w:val="nil"/>
              <w:left w:val="nil"/>
              <w:bottom w:val="single" w:color="auto" w:sz="4" w:space="0"/>
              <w:right w:val="single" w:color="auto" w:sz="4" w:space="0"/>
            </w:tcBorders>
            <w:shd w:val="clear" w:color="auto" w:fill="auto"/>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 </w:t>
            </w:r>
          </w:p>
        </w:tc>
        <w:tc>
          <w:tcPr>
            <w:tcW w:w="145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184"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1429"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c>
          <w:tcPr>
            <w:tcW w:w="750" w:type="dxa"/>
            <w:tcBorders>
              <w:top w:val="nil"/>
              <w:left w:val="nil"/>
              <w:bottom w:val="single" w:color="auto" w:sz="4"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4" w:space="0"/>
              <w:left w:val="single" w:color="auto" w:sz="8" w:space="0"/>
              <w:bottom w:val="single" w:color="auto" w:sz="8" w:space="0"/>
              <w:right w:val="single" w:color="auto" w:sz="4"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Subtotal de Mano de Obra: </w:t>
            </w:r>
          </w:p>
        </w:tc>
        <w:tc>
          <w:tcPr>
            <w:tcW w:w="750" w:type="dxa"/>
            <w:tcBorders>
              <w:top w:val="nil"/>
              <w:left w:val="nil"/>
              <w:bottom w:val="single" w:color="auto" w:sz="8" w:space="0"/>
              <w:right w:val="single" w:color="auto" w:sz="8" w:space="0"/>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r>
        <w:tblPrEx>
          <w:tblLayout w:type="fixed"/>
          <w:tblCellMar>
            <w:top w:w="0" w:type="dxa"/>
            <w:left w:w="70" w:type="dxa"/>
            <w:bottom w:w="0" w:type="dxa"/>
            <w:right w:w="70" w:type="dxa"/>
          </w:tblCellMar>
        </w:tblPrEx>
        <w:trPr>
          <w:trHeight w:val="270"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285" w:hRule="atLeast"/>
        </w:trPr>
        <w:tc>
          <w:tcPr>
            <w:tcW w:w="8670" w:type="dxa"/>
            <w:gridSpan w:val="6"/>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Costo Directo Total: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300" w:hRule="atLeast"/>
        </w:trPr>
        <w:tc>
          <w:tcPr>
            <w:tcW w:w="1665"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c>
          <w:tcPr>
            <w:tcW w:w="1821"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9420" w:type="dxa"/>
            <w:gridSpan w:val="7"/>
            <w:tcBorders>
              <w:top w:val="single" w:color="auto" w:sz="8" w:space="0"/>
              <w:left w:val="single" w:color="auto" w:sz="8" w:space="0"/>
              <w:bottom w:val="single" w:color="auto" w:sz="8" w:space="0"/>
              <w:right w:val="single" w:color="000000" w:sz="8" w:space="0"/>
            </w:tcBorders>
            <w:shd w:val="clear" w:color="000000" w:fill="D9D9D9"/>
            <w:vAlign w:val="bottom"/>
          </w:tcPr>
          <w:p>
            <w:pPr>
              <w:spacing w:after="0" w:line="240" w:lineRule="auto"/>
              <w:jc w:val="center"/>
              <w:rPr>
                <w:rFonts w:ascii="Century Gothic" w:hAnsi="Century Gothic" w:eastAsia="Times New Roman" w:cs="Arial"/>
                <w:b/>
                <w:bCs/>
                <w:sz w:val="16"/>
                <w:szCs w:val="16"/>
              </w:rPr>
            </w:pPr>
            <w:r>
              <w:rPr>
                <w:rFonts w:ascii="Century Gothic" w:hAnsi="Century Gothic" w:eastAsia="Times New Roman" w:cs="Arial"/>
                <w:b/>
                <w:bCs/>
                <w:sz w:val="16"/>
                <w:szCs w:val="16"/>
              </w:rPr>
              <w:t>COSTOS INDIRECTOS</w:t>
            </w:r>
          </w:p>
        </w:tc>
      </w:tr>
      <w:tr>
        <w:tblPrEx>
          <w:tblLayout w:type="fixed"/>
          <w:tblCellMar>
            <w:top w:w="0" w:type="dxa"/>
            <w:left w:w="70" w:type="dxa"/>
            <w:bottom w:w="0" w:type="dxa"/>
            <w:right w:w="70" w:type="dxa"/>
          </w:tblCellMar>
        </w:tblPrEx>
        <w:trPr>
          <w:trHeight w:val="285" w:hRule="atLeast"/>
        </w:trPr>
        <w:tc>
          <w:tcPr>
            <w:tcW w:w="8670" w:type="dxa"/>
            <w:gridSpan w:val="6"/>
            <w:tcBorders>
              <w:top w:val="single" w:color="auto" w:sz="8" w:space="0"/>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xml:space="preserve"> %</w:t>
            </w: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sz w:val="16"/>
                <w:szCs w:val="16"/>
              </w:rPr>
            </w:pPr>
          </w:p>
        </w:tc>
      </w:tr>
      <w:tr>
        <w:tblPrEx>
          <w:tblLayout w:type="fixed"/>
          <w:tblCellMar>
            <w:top w:w="0" w:type="dxa"/>
            <w:left w:w="70" w:type="dxa"/>
            <w:bottom w:w="0" w:type="dxa"/>
            <w:right w:w="70" w:type="dxa"/>
          </w:tblCellMar>
        </w:tblPrEx>
        <w:trPr>
          <w:trHeight w:val="285" w:hRule="atLeast"/>
        </w:trPr>
        <w:tc>
          <w:tcPr>
            <w:tcW w:w="1665"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821" w:type="dxa"/>
            <w:tcBorders>
              <w:top w:val="nil"/>
              <w:left w:val="nil"/>
              <w:bottom w:val="nil"/>
              <w:right w:val="nil"/>
            </w:tcBorders>
            <w:shd w:val="clear" w:color="auto" w:fill="auto"/>
            <w:vAlign w:val="bottom"/>
          </w:tcPr>
          <w:p>
            <w:pPr>
              <w:spacing w:after="0" w:line="240" w:lineRule="auto"/>
              <w:rPr>
                <w:rFonts w:ascii="Century Gothic" w:hAnsi="Century Gothic" w:eastAsia="Times New Roman" w:cs="Arial"/>
                <w:b/>
                <w:bCs/>
                <w:sz w:val="16"/>
                <w:szCs w:val="16"/>
              </w:rPr>
            </w:pPr>
          </w:p>
        </w:tc>
        <w:tc>
          <w:tcPr>
            <w:tcW w:w="1117" w:type="dxa"/>
            <w:tcBorders>
              <w:top w:val="nil"/>
              <w:left w:val="nil"/>
              <w:bottom w:val="nil"/>
              <w:right w:val="nil"/>
            </w:tcBorders>
            <w:shd w:val="clear" w:color="auto" w:fill="auto"/>
            <w:vAlign w:val="bottom"/>
          </w:tcPr>
          <w:p>
            <w:pPr>
              <w:spacing w:after="0" w:line="240" w:lineRule="auto"/>
              <w:jc w:val="center"/>
              <w:rPr>
                <w:rFonts w:ascii="Century Gothic" w:hAnsi="Century Gothic" w:eastAsia="Times New Roman" w:cs="Arial"/>
                <w:b/>
                <w:bCs/>
                <w:sz w:val="16"/>
                <w:szCs w:val="16"/>
              </w:rPr>
            </w:pPr>
          </w:p>
        </w:tc>
        <w:tc>
          <w:tcPr>
            <w:tcW w:w="145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184"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1429"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c>
          <w:tcPr>
            <w:tcW w:w="750" w:type="dxa"/>
            <w:tcBorders>
              <w:top w:val="nil"/>
              <w:left w:val="nil"/>
              <w:bottom w:val="nil"/>
              <w:right w:val="nil"/>
            </w:tcBorders>
            <w:shd w:val="clear" w:color="auto" w:fill="auto"/>
            <w:vAlign w:val="bottom"/>
          </w:tcPr>
          <w:p>
            <w:pPr>
              <w:spacing w:after="0" w:line="240" w:lineRule="auto"/>
              <w:jc w:val="right"/>
              <w:rPr>
                <w:rFonts w:ascii="Century Gothic" w:hAnsi="Century Gothic" w:eastAsia="Times New Roman" w:cs="Arial"/>
                <w:b/>
                <w:bCs/>
                <w:sz w:val="16"/>
                <w:szCs w:val="16"/>
              </w:rPr>
            </w:pPr>
          </w:p>
        </w:tc>
      </w:tr>
      <w:tr>
        <w:tblPrEx>
          <w:tblLayout w:type="fixed"/>
          <w:tblCellMar>
            <w:top w:w="0" w:type="dxa"/>
            <w:left w:w="70" w:type="dxa"/>
            <w:bottom w:w="0" w:type="dxa"/>
            <w:right w:w="70" w:type="dxa"/>
          </w:tblCellMar>
        </w:tblPrEx>
        <w:trPr>
          <w:trHeight w:val="300" w:hRule="atLeast"/>
        </w:trPr>
        <w:tc>
          <w:tcPr>
            <w:tcW w:w="8670" w:type="dxa"/>
            <w:gridSpan w:val="6"/>
            <w:tcBorders>
              <w:top w:val="single" w:color="auto" w:sz="8" w:space="0"/>
              <w:left w:val="single" w:color="auto" w:sz="8" w:space="0"/>
              <w:bottom w:val="single" w:color="auto" w:sz="8" w:space="0"/>
              <w:right w:val="nil"/>
            </w:tcBorders>
            <w:shd w:val="clear" w:color="000000" w:fill="D9D9D9"/>
            <w:vAlign w:val="bottom"/>
          </w:tcPr>
          <w:p>
            <w:pPr>
              <w:spacing w:after="0" w:line="240" w:lineRule="auto"/>
              <w:jc w:val="right"/>
              <w:rPr>
                <w:rFonts w:ascii="Century Gothic" w:hAnsi="Century Gothic" w:eastAsia="Times New Roman" w:cs="Arial"/>
                <w:b/>
                <w:bCs/>
                <w:sz w:val="16"/>
                <w:szCs w:val="16"/>
              </w:rPr>
            </w:pPr>
            <w:r>
              <w:rPr>
                <w:rFonts w:ascii="Century Gothic" w:hAnsi="Century Gothic" w:eastAsia="Times New Roman" w:cs="Arial"/>
                <w:b/>
                <w:bCs/>
                <w:sz w:val="16"/>
                <w:szCs w:val="16"/>
              </w:rPr>
              <w:t>Precio Unitario Total .................................................................................................</w:t>
            </w:r>
          </w:p>
        </w:tc>
        <w:tc>
          <w:tcPr>
            <w:tcW w:w="750" w:type="dxa"/>
            <w:tcBorders>
              <w:top w:val="single" w:color="auto" w:sz="8" w:space="0"/>
              <w:left w:val="nil"/>
              <w:bottom w:val="single" w:color="auto" w:sz="8" w:space="0"/>
              <w:right w:val="single" w:color="auto" w:sz="8" w:space="0"/>
            </w:tcBorders>
            <w:shd w:val="clear" w:color="000000" w:fill="D9D9D9"/>
            <w:vAlign w:val="bottom"/>
          </w:tcPr>
          <w:p>
            <w:pPr>
              <w:spacing w:after="0" w:line="240" w:lineRule="auto"/>
              <w:jc w:val="right"/>
              <w:rPr>
                <w:rFonts w:ascii="Century Gothic" w:hAnsi="Century Gothic" w:eastAsia="Times New Roman" w:cs="Arial"/>
                <w:sz w:val="16"/>
                <w:szCs w:val="16"/>
              </w:rPr>
            </w:pPr>
            <w:r>
              <w:rPr>
                <w:rFonts w:ascii="Century Gothic" w:hAnsi="Century Gothic" w:eastAsia="Times New Roman" w:cs="Arial"/>
                <w:sz w:val="16"/>
                <w:szCs w:val="16"/>
              </w:rPr>
              <w:t> </w:t>
            </w:r>
          </w:p>
        </w:tc>
      </w:tr>
    </w:tbl>
    <w:p>
      <w:pPr>
        <w:widowControl w:val="0"/>
        <w:suppressAutoHyphens/>
        <w:spacing w:after="0" w:line="240" w:lineRule="auto"/>
        <w:ind w:left="15" w:right="45"/>
        <w:rPr>
          <w:rFonts w:ascii="Arial" w:hAnsi="Arial" w:eastAsia="Times New Roman" w:cs="Arial"/>
          <w:b/>
          <w:sz w:val="18"/>
          <w:szCs w:val="20"/>
          <w:lang w:val="es-ES" w:eastAsia="hi-IN" w:bidi="hi-IN"/>
        </w:rPr>
      </w:pPr>
    </w:p>
    <w:p>
      <w:pPr>
        <w:widowControl w:val="0"/>
        <w:suppressAutoHyphens/>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ESTE PRECIO NO INCLUYE IVA.</w:t>
      </w:r>
    </w:p>
    <w:p>
      <w:pPr>
        <w:spacing w:after="0" w:line="240" w:lineRule="auto"/>
        <w:rPr>
          <w:rFonts w:ascii="Arial" w:hAnsi="Arial" w:eastAsia="Times New Roman" w:cs="Arial"/>
          <w:sz w:val="18"/>
          <w:lang w:eastAsia="hi-IN" w:bidi="hi-IN"/>
        </w:rPr>
      </w:pPr>
    </w:p>
    <w:p>
      <w:pPr>
        <w:widowControl w:val="0"/>
        <w:suppressAutoHyphens/>
        <w:spacing w:after="0" w:line="240" w:lineRule="auto"/>
        <w:ind w:left="15" w:right="45"/>
        <w:rPr>
          <w:rFonts w:ascii="Arial" w:hAnsi="Arial" w:eastAsia="Times New Roman" w:cs="Arial"/>
          <w:sz w:val="18"/>
          <w:lang w:eastAsia="hi-IN" w:bidi="hi-IN"/>
        </w:rPr>
      </w:pPr>
    </w:p>
    <w:p>
      <w:pPr>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1.6</w:t>
      </w:r>
      <w:r>
        <w:rPr>
          <w:rFonts w:ascii="Arial" w:hAnsi="Arial" w:eastAsia="Times New Roman" w:cs="Arial"/>
          <w:b/>
          <w:bCs/>
          <w:sz w:val="20"/>
          <w:lang w:eastAsia="hi-IN" w:bidi="hi-IN"/>
        </w:rPr>
        <w:tab/>
      </w:r>
      <w:r>
        <w:rPr>
          <w:rFonts w:ascii="Arial" w:hAnsi="Arial" w:eastAsia="Times New Roman" w:cs="Arial"/>
          <w:b/>
          <w:bCs/>
          <w:sz w:val="20"/>
          <w:lang w:eastAsia="hi-IN" w:bidi="hi-IN"/>
        </w:rPr>
        <w:t>METODOLOGÍA DE CONSTRUCCIÓN</w:t>
      </w:r>
    </w:p>
    <w:p>
      <w:pPr>
        <w:suppressAutoHyphens/>
        <w:spacing w:after="0" w:line="240" w:lineRule="auto"/>
        <w:ind w:left="15" w:right="45"/>
        <w:rPr>
          <w:rFonts w:ascii="Arial" w:hAnsi="Arial" w:eastAsia="Times New Roman" w:cs="Arial"/>
          <w:b/>
          <w:spacing w:val="-2"/>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 indicar con suficiente detalle la Metodología y procedimientos a seguir de una manera clara, para cumplir con los diferentes trabajos de ejecución de las obras. Se considerará la correcta secuencia de actividades y el número de frentes de trabajo simultáneo que propone. El oferente no reproducirá las especificaciones técnicas de la obra para describir la metodología que propone usar, de así hacerlo será descalificado.</w:t>
      </w: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El oferente deberá presentar el Cronograma Valorado de ejecución de trabajos, que deberá guardar relación con los análisis de precios unitarios, el Personal Técnico propuesto y la utilización de equipos. Quien resultare adjudicatario del presente proceso además deberá establecer la Ruta Crítica del proyecto mediante la utilización del CPM (CriticalPathMethod) o Diagrama de Ruta Crítica, la cual deberá ser adjuntada a la oferta.</w:t>
      </w:r>
    </w:p>
    <w:p>
      <w:pPr>
        <w:suppressAutoHyphens/>
        <w:spacing w:after="0" w:line="240" w:lineRule="auto"/>
        <w:ind w:left="15" w:right="45"/>
        <w:jc w:val="both"/>
        <w:rPr>
          <w:rFonts w:ascii="Arial" w:hAnsi="Arial" w:eastAsia="Times New Roman" w:cs="Arial"/>
          <w:b/>
          <w:spacing w:val="-2"/>
          <w:sz w:val="18"/>
          <w:lang w:eastAsia="hi-IN" w:bidi="hi-IN"/>
        </w:rPr>
      </w:pPr>
    </w:p>
    <w:p>
      <w:pPr>
        <w:suppressAutoHyphens/>
        <w:spacing w:after="0" w:line="240" w:lineRule="auto"/>
        <w:ind w:left="15" w:right="45"/>
        <w:jc w:val="both"/>
        <w:rPr>
          <w:rFonts w:ascii="Arial" w:hAnsi="Arial" w:eastAsia="Times New Roman" w:cs="Arial"/>
          <w:b/>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pacing w:val="-2"/>
          <w:sz w:val="18"/>
          <w:lang w:eastAsia="hi-IN" w:bidi="hi-IN"/>
        </w:rPr>
        <w:br w:type="page"/>
      </w:r>
      <w:r>
        <w:rPr>
          <w:rFonts w:ascii="Arial" w:hAnsi="Arial" w:eastAsia="Times New Roman" w:cs="Arial"/>
          <w:b/>
          <w:sz w:val="18"/>
          <w:lang w:eastAsia="hi-IN" w:bidi="hi-IN"/>
        </w:rPr>
        <w:t>1.7</w:t>
      </w:r>
      <w:r>
        <w:rPr>
          <w:rFonts w:ascii="Arial" w:hAnsi="Arial" w:eastAsia="Times New Roman" w:cs="Arial"/>
          <w:b/>
          <w:sz w:val="18"/>
          <w:lang w:eastAsia="hi-IN" w:bidi="hi-IN"/>
        </w:rPr>
        <w:tab/>
      </w:r>
      <w:r>
        <w:rPr>
          <w:rFonts w:ascii="Arial" w:hAnsi="Arial" w:eastAsia="Times New Roman" w:cs="Arial"/>
          <w:b/>
          <w:sz w:val="18"/>
          <w:lang w:eastAsia="hi-IN" w:bidi="hi-IN"/>
        </w:rPr>
        <w:t>CRONOGRAMA VALORADO DE TRABAJOS</w:t>
      </w:r>
    </w:p>
    <w:p>
      <w:pPr>
        <w:suppressAutoHyphens/>
        <w:spacing w:after="0" w:line="240" w:lineRule="auto"/>
        <w:ind w:left="15" w:right="45"/>
        <w:rPr>
          <w:rFonts w:ascii="Arial" w:hAnsi="Arial" w:eastAsia="Times New Roman" w:cs="Arial"/>
          <w:b/>
          <w:spacing w:val="-2"/>
          <w:sz w:val="18"/>
          <w:lang w:eastAsia="hi-IN" w:bidi="hi-IN"/>
        </w:rPr>
      </w:pPr>
    </w:p>
    <w:tbl>
      <w:tblPr>
        <w:tblStyle w:val="46"/>
        <w:tblW w:w="10670" w:type="dxa"/>
        <w:jc w:val="center"/>
        <w:tblInd w:w="0" w:type="dxa"/>
        <w:tblLayout w:type="fixed"/>
        <w:tblCellMar>
          <w:top w:w="0" w:type="dxa"/>
          <w:left w:w="0" w:type="dxa"/>
          <w:bottom w:w="0" w:type="dxa"/>
          <w:right w:w="0" w:type="dxa"/>
        </w:tblCellMar>
      </w:tblPr>
      <w:tblGrid>
        <w:gridCol w:w="2029"/>
        <w:gridCol w:w="1072"/>
        <w:gridCol w:w="1260"/>
        <w:gridCol w:w="1168"/>
        <w:gridCol w:w="425"/>
        <w:gridCol w:w="425"/>
        <w:gridCol w:w="426"/>
        <w:gridCol w:w="425"/>
        <w:gridCol w:w="425"/>
        <w:gridCol w:w="425"/>
        <w:gridCol w:w="426"/>
        <w:gridCol w:w="425"/>
        <w:gridCol w:w="425"/>
        <w:gridCol w:w="425"/>
        <w:gridCol w:w="426"/>
        <w:gridCol w:w="463"/>
      </w:tblGrid>
      <w:tr>
        <w:tblPrEx>
          <w:tblLayout w:type="fixed"/>
          <w:tblCellMar>
            <w:top w:w="0" w:type="dxa"/>
            <w:left w:w="0" w:type="dxa"/>
            <w:bottom w:w="0" w:type="dxa"/>
            <w:right w:w="0" w:type="dxa"/>
          </w:tblCellMar>
        </w:tblPrEx>
        <w:trPr>
          <w:trHeight w:val="605" w:hRule="atLeast"/>
          <w:jc w:val="center"/>
        </w:trPr>
        <w:tc>
          <w:tcPr>
            <w:tcW w:w="2029"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Rubro</w:t>
            </w:r>
          </w:p>
        </w:tc>
        <w:tc>
          <w:tcPr>
            <w:tcW w:w="107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Cantidad</w:t>
            </w:r>
          </w:p>
        </w:tc>
        <w:tc>
          <w:tcPr>
            <w:tcW w:w="126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unitario</w:t>
            </w:r>
          </w:p>
        </w:tc>
        <w:tc>
          <w:tcPr>
            <w:tcW w:w="116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Precio total</w:t>
            </w:r>
          </w:p>
        </w:tc>
        <w:tc>
          <w:tcPr>
            <w:tcW w:w="5141" w:type="dxa"/>
            <w:gridSpan w:val="12"/>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Tiempo en (semanas, meses)</w:t>
            </w:r>
          </w:p>
          <w:p>
            <w:pPr>
              <w:suppressAutoHyphens/>
              <w:spacing w:after="0" w:line="240" w:lineRule="auto"/>
              <w:ind w:left="15" w:right="45"/>
              <w:jc w:val="center"/>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2029"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07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260"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1168"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18"/>
                <w:lang w:eastAsia="hi-IN" w:bidi="hi-IN"/>
              </w:rPr>
            </w:pP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2</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3</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4</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5</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6</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7</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8</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9</w:t>
            </w:r>
          </w:p>
        </w:tc>
        <w:tc>
          <w:tcPr>
            <w:tcW w:w="42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10</w:t>
            </w:r>
          </w:p>
        </w:tc>
        <w:tc>
          <w:tcPr>
            <w:tcW w:w="426"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18"/>
                <w:lang w:eastAsia="hi-IN" w:bidi="hi-IN"/>
              </w:rPr>
            </w:pPr>
            <w:r>
              <w:rPr>
                <w:rFonts w:ascii="Arial" w:hAnsi="Arial" w:eastAsia="Times New Roman" w:cs="Arial"/>
                <w:b/>
                <w:sz w:val="18"/>
                <w:lang w:eastAsia="hi-IN" w:bidi="hi-IN"/>
              </w:rPr>
              <w:t>12</w:t>
            </w: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2029"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072"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260"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1168" w:type="dxa"/>
            <w:tcBorders>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auto"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auto"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auto"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mensual</w:t>
            </w:r>
          </w:p>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auto"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auto"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parcial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00" w:hRule="atLeast"/>
          <w:jc w:val="center"/>
        </w:trPr>
        <w:tc>
          <w:tcPr>
            <w:tcW w:w="5529" w:type="dxa"/>
            <w:gridSpan w:val="4"/>
            <w:tcBorders>
              <w:top w:val="single" w:color="000000" w:sz="4" w:space="0"/>
              <w:left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Inversión acumulada</w:t>
            </w:r>
          </w:p>
          <w:p>
            <w:pPr>
              <w:suppressAutoHyphens/>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 </w:t>
            </w: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r>
        <w:tblPrEx>
          <w:tblLayout w:type="fixed"/>
          <w:tblCellMar>
            <w:top w:w="0" w:type="dxa"/>
            <w:left w:w="0" w:type="dxa"/>
            <w:bottom w:w="0" w:type="dxa"/>
            <w:right w:w="0" w:type="dxa"/>
          </w:tblCellMar>
        </w:tblPrEx>
        <w:trPr>
          <w:trHeight w:val="315" w:hRule="atLeast"/>
          <w:jc w:val="center"/>
        </w:trPr>
        <w:tc>
          <w:tcPr>
            <w:tcW w:w="5529" w:type="dxa"/>
            <w:gridSpan w:val="4"/>
            <w:tcBorders>
              <w:top w:val="single" w:color="000000" w:sz="4" w:space="0"/>
              <w:left w:val="single" w:color="000000" w:sz="4" w:space="0"/>
              <w:bottom w:val="single" w:color="000000" w:sz="4" w:space="0"/>
            </w:tcBorders>
            <w:shd w:val="clear" w:color="auto" w:fill="auto"/>
            <w:vAlign w:val="center"/>
          </w:tcPr>
          <w:p>
            <w:pPr>
              <w:suppressAutoHyphens/>
              <w:snapToGrid w:val="0"/>
              <w:spacing w:after="0" w:line="240" w:lineRule="auto"/>
              <w:ind w:left="15" w:right="45"/>
              <w:rPr>
                <w:rFonts w:ascii="Arial" w:hAnsi="Arial" w:eastAsia="Times New Roman" w:cs="Arial"/>
                <w:sz w:val="18"/>
                <w:lang w:eastAsia="hi-IN" w:bidi="hi-IN"/>
              </w:rPr>
            </w:pPr>
            <w:r>
              <w:rPr>
                <w:rFonts w:ascii="Arial" w:hAnsi="Arial" w:eastAsia="Times New Roman" w:cs="Arial"/>
                <w:sz w:val="18"/>
                <w:lang w:eastAsia="hi-IN" w:bidi="hi-IN"/>
              </w:rPr>
              <w:t>Avance acumulado en %</w:t>
            </w:r>
          </w:p>
          <w:p>
            <w:pPr>
              <w:suppressAutoHyphens/>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2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18"/>
                <w:lang w:eastAsia="hi-IN" w:bidi="hi-IN"/>
              </w:rPr>
            </w:pPr>
          </w:p>
        </w:tc>
      </w:tr>
    </w:tbl>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pacing w:val="-2"/>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suppressAutoHyphens/>
        <w:spacing w:after="0" w:line="240" w:lineRule="auto"/>
        <w:ind w:left="15" w:right="45"/>
        <w:rPr>
          <w:rFonts w:ascii="Arial" w:hAnsi="Arial" w:eastAsia="Times New Roman" w:cs="Arial"/>
          <w:b/>
          <w:sz w:val="18"/>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1.8</w:t>
      </w:r>
      <w:r>
        <w:rPr>
          <w:rFonts w:ascii="Arial" w:hAnsi="Arial" w:eastAsia="Times New Roman" w:cs="Arial"/>
          <w:b/>
          <w:sz w:val="20"/>
          <w:lang w:eastAsia="hi-IN" w:bidi="hi-IN"/>
        </w:rPr>
        <w:tab/>
      </w:r>
      <w:r>
        <w:rPr>
          <w:rFonts w:ascii="Arial" w:hAnsi="Arial" w:eastAsia="Times New Roman" w:cs="Arial"/>
          <w:b/>
          <w:sz w:val="20"/>
          <w:lang w:eastAsia="hi-IN" w:bidi="hi-IN"/>
        </w:rPr>
        <w:t>EXPERIENCIA DEL OFERENTE</w:t>
      </w:r>
    </w:p>
    <w:p>
      <w:pPr>
        <w:suppressAutoHyphens/>
        <w:spacing w:after="0" w:line="240" w:lineRule="auto"/>
        <w:ind w:left="15" w:right="45"/>
        <w:rPr>
          <w:rFonts w:ascii="Arial" w:hAnsi="Arial" w:eastAsia="Times New Roman" w:cs="Arial"/>
          <w:b/>
          <w:sz w:val="20"/>
          <w:lang w:eastAsia="hi-IN" w:bidi="hi-IN"/>
        </w:rPr>
      </w:pPr>
    </w:p>
    <w:p>
      <w:pPr>
        <w:suppressAutoHyphens/>
        <w:spacing w:after="0" w:line="240" w:lineRule="auto"/>
        <w:ind w:left="15" w:right="45"/>
        <w:rPr>
          <w:rFonts w:ascii="Arial" w:hAnsi="Arial" w:eastAsia="Times New Roman" w:cs="Arial"/>
          <w:spacing w:val="-2"/>
          <w:sz w:val="20"/>
          <w:lang w:eastAsia="hi-IN" w:bidi="hi-IN"/>
        </w:rPr>
      </w:pPr>
    </w:p>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b/>
          <w:sz w:val="20"/>
          <w:lang w:eastAsia="hi-IN" w:bidi="hi-IN"/>
        </w:rPr>
      </w:pPr>
      <w:r>
        <w:rPr>
          <w:rFonts w:ascii="Arial" w:hAnsi="Arial" w:eastAsia="Times New Roman" w:cs="Arial"/>
          <w:b/>
          <w:sz w:val="20"/>
          <w:lang w:eastAsia="hi-IN" w:bidi="hi-IN"/>
        </w:rPr>
        <w:t>EXPERIENCIA ESPECÍFICA:</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11202" w:type="dxa"/>
        <w:jc w:val="center"/>
        <w:tblInd w:w="0" w:type="dxa"/>
        <w:tblLayout w:type="fixed"/>
        <w:tblCellMar>
          <w:top w:w="0" w:type="dxa"/>
          <w:left w:w="0" w:type="dxa"/>
          <w:bottom w:w="0" w:type="dxa"/>
          <w:right w:w="0" w:type="dxa"/>
        </w:tblCellMar>
      </w:tblPr>
      <w:tblGrid>
        <w:gridCol w:w="382"/>
        <w:gridCol w:w="1371"/>
        <w:gridCol w:w="1802"/>
        <w:gridCol w:w="1322"/>
        <w:gridCol w:w="1200"/>
        <w:gridCol w:w="829"/>
        <w:gridCol w:w="1202"/>
        <w:gridCol w:w="1066"/>
        <w:gridCol w:w="2028"/>
      </w:tblGrid>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p>
            <w:pPr>
              <w:rPr>
                <w:rFonts w:ascii="Arial" w:hAnsi="Arial" w:eastAsia="Times New Roman" w:cs="Arial"/>
                <w:sz w:val="20"/>
                <w:lang w:eastAsia="hi-IN" w:bidi="hi-IN"/>
              </w:rPr>
            </w:pPr>
          </w:p>
        </w:tc>
        <w:tc>
          <w:tcPr>
            <w:tcW w:w="1371"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Contratante</w:t>
            </w:r>
          </w:p>
        </w:tc>
        <w:tc>
          <w:tcPr>
            <w:tcW w:w="180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Objeto del contrato</w:t>
            </w:r>
          </w:p>
        </w:tc>
        <w:tc>
          <w:tcPr>
            <w:tcW w:w="1322"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Valor del Contrato</w:t>
            </w:r>
          </w:p>
        </w:tc>
        <w:tc>
          <w:tcPr>
            <w:tcW w:w="120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Plazo contractual</w:t>
            </w:r>
          </w:p>
        </w:tc>
        <w:tc>
          <w:tcPr>
            <w:tcW w:w="2031" w:type="dxa"/>
            <w:gridSpan w:val="2"/>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Fechas de ejecución</w:t>
            </w:r>
          </w:p>
        </w:tc>
        <w:tc>
          <w:tcPr>
            <w:tcW w:w="1066" w:type="dxa"/>
            <w:tcBorders>
              <w:top w:val="single" w:color="000000" w:sz="4" w:space="0"/>
              <w:lef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Tipo de Recepción</w:t>
            </w:r>
          </w:p>
        </w:tc>
        <w:tc>
          <w:tcPr>
            <w:tcW w:w="2028"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304" w:hRule="atLeast"/>
          <w:jc w:val="center"/>
        </w:trPr>
        <w:tc>
          <w:tcPr>
            <w:tcW w:w="382" w:type="dxa"/>
            <w:tcBorders>
              <w:left w:val="single" w:color="000000" w:sz="4" w:space="0"/>
              <w:bottom w:val="single" w:color="000000" w:sz="4" w:space="0"/>
            </w:tcBorders>
            <w:shd w:val="clear" w:color="auto" w:fill="D9D9D9"/>
          </w:tcPr>
          <w:p>
            <w:pPr>
              <w:suppressAutoHyphens/>
              <w:snapToGrid w:val="0"/>
              <w:spacing w:after="0" w:line="240" w:lineRule="auto"/>
              <w:rPr>
                <w:rFonts w:ascii="Arial" w:hAnsi="Arial" w:eastAsia="Times New Roman" w:cs="Arial"/>
                <w:b/>
                <w:sz w:val="20"/>
                <w:lang w:eastAsia="hi-IN" w:bidi="hi-IN"/>
              </w:rPr>
            </w:pPr>
          </w:p>
        </w:tc>
        <w:tc>
          <w:tcPr>
            <w:tcW w:w="1371"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802" w:type="dxa"/>
            <w:tcBorders>
              <w:left w:val="single" w:color="000000" w:sz="4" w:space="0"/>
              <w:bottom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c>
          <w:tcPr>
            <w:tcW w:w="1322"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1200" w:type="dxa"/>
            <w:tcBorders>
              <w:left w:val="single" w:color="000000" w:sz="4" w:space="0"/>
              <w:bottom w:val="single" w:color="000000" w:sz="4" w:space="0"/>
            </w:tcBorders>
            <w:shd w:val="clear" w:color="auto" w:fill="D9D9D9"/>
            <w:vAlign w:val="center"/>
          </w:tcPr>
          <w:p>
            <w:pPr>
              <w:suppressAutoHyphens/>
              <w:snapToGrid w:val="0"/>
              <w:spacing w:after="0" w:line="240" w:lineRule="auto"/>
              <w:rPr>
                <w:rFonts w:ascii="Arial" w:hAnsi="Arial" w:eastAsia="Times New Roman" w:cs="Arial"/>
                <w:b/>
                <w:sz w:val="20"/>
                <w:lang w:eastAsia="hi-IN" w:bidi="hi-IN"/>
              </w:rPr>
            </w:pPr>
          </w:p>
        </w:tc>
        <w:tc>
          <w:tcPr>
            <w:tcW w:w="82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Inicio</w:t>
            </w:r>
          </w:p>
        </w:tc>
        <w:tc>
          <w:tcPr>
            <w:tcW w:w="120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Terminación</w:t>
            </w:r>
          </w:p>
        </w:tc>
        <w:tc>
          <w:tcPr>
            <w:tcW w:w="1066" w:type="dxa"/>
            <w:tcBorders>
              <w:left w:val="single" w:color="000000" w:sz="4" w:space="0"/>
              <w:bottom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lang w:eastAsia="hi-IN" w:bidi="hi-IN"/>
              </w:rPr>
            </w:pPr>
          </w:p>
        </w:tc>
        <w:tc>
          <w:tcPr>
            <w:tcW w:w="2028" w:type="dxa"/>
            <w:tcBorders>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jc w:val="center"/>
              <w:rPr>
                <w:rFonts w:ascii="Arial" w:hAnsi="Arial" w:eastAsia="Times New Roman" w:cs="Arial"/>
                <w:b/>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1</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2</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3</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90" w:hRule="atLeast"/>
          <w:jc w:val="center"/>
        </w:trPr>
        <w:tc>
          <w:tcPr>
            <w:tcW w:w="382"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4</w:t>
            </w:r>
          </w:p>
        </w:tc>
        <w:tc>
          <w:tcPr>
            <w:tcW w:w="1371"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r>
              <w:rPr>
                <w:rFonts w:ascii="Arial" w:hAnsi="Arial" w:eastAsia="Times New Roman" w:cs="Arial"/>
                <w:sz w:val="20"/>
                <w:lang w:eastAsia="hi-IN" w:bidi="hi-IN"/>
              </w:rPr>
              <w:t xml:space="preserve"> 5</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304" w:hRule="atLeast"/>
          <w:jc w:val="center"/>
        </w:trPr>
        <w:tc>
          <w:tcPr>
            <w:tcW w:w="38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pacing w:val="-2"/>
                <w:sz w:val="20"/>
                <w:lang w:eastAsia="hi-IN" w:bidi="hi-IN"/>
              </w:rPr>
            </w:pPr>
            <w:r>
              <w:rPr>
                <w:rFonts w:ascii="Arial" w:hAnsi="Arial" w:eastAsia="Times New Roman" w:cs="Arial"/>
                <w:spacing w:val="-2"/>
                <w:sz w:val="20"/>
                <w:lang w:eastAsia="hi-IN" w:bidi="hi-IN"/>
              </w:rPr>
              <w:t xml:space="preserve"> 6</w:t>
            </w:r>
          </w:p>
        </w:tc>
        <w:tc>
          <w:tcPr>
            <w:tcW w:w="137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pacing w:val="-2"/>
                <w:sz w:val="20"/>
                <w:lang w:eastAsia="hi-IN" w:bidi="hi-IN"/>
              </w:rPr>
            </w:pPr>
          </w:p>
        </w:tc>
        <w:tc>
          <w:tcPr>
            <w:tcW w:w="18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32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82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0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066"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rPr>
          <w:rFonts w:ascii="Arial" w:hAnsi="Arial" w:eastAsia="Times New Roman" w:cs="Arial"/>
          <w:b/>
          <w:sz w:val="18"/>
          <w:lang w:eastAsia="hi-IN" w:bidi="hi-IN"/>
        </w:rPr>
      </w:pPr>
      <w:r>
        <w:rPr>
          <w:rFonts w:ascii="Arial" w:hAnsi="Arial" w:eastAsia="Times New Roman" w:cs="Arial"/>
          <w:b/>
          <w:sz w:val="18"/>
          <w:lang w:eastAsia="hi-IN" w:bidi="hi-IN"/>
        </w:rPr>
        <w:br w:type="page"/>
      </w:r>
    </w:p>
    <w:p>
      <w:pPr>
        <w:spacing w:after="0" w:line="240" w:lineRule="auto"/>
        <w:rPr>
          <w:rFonts w:ascii="Arial" w:hAnsi="Arial" w:eastAsia="Times New Roman" w:cs="Arial"/>
          <w:b/>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t>1.9</w:t>
      </w:r>
      <w:r>
        <w:rPr>
          <w:rFonts w:ascii="Arial" w:hAnsi="Arial" w:eastAsia="Times New Roman" w:cs="Arial"/>
          <w:b/>
          <w:sz w:val="18"/>
          <w:lang w:eastAsia="hi-IN" w:bidi="hi-IN"/>
        </w:rPr>
        <w:tab/>
      </w:r>
      <w:r>
        <w:rPr>
          <w:rFonts w:ascii="Arial" w:hAnsi="Arial" w:eastAsia="Times New Roman" w:cs="Arial"/>
          <w:b/>
          <w:sz w:val="18"/>
          <w:lang w:eastAsia="hi-IN" w:bidi="hi-IN"/>
        </w:rPr>
        <w:t>PERSONAL TÉCNICO PROPUESTO PARA EL PROYECTO</w:t>
      </w:r>
    </w:p>
    <w:p>
      <w:pPr>
        <w:suppressAutoHyphens/>
        <w:spacing w:after="0" w:line="240" w:lineRule="auto"/>
        <w:ind w:left="15" w:right="45"/>
        <w:jc w:val="both"/>
        <w:rPr>
          <w:rFonts w:ascii="Arial" w:hAnsi="Arial" w:eastAsia="Times New Roman" w:cs="Arial"/>
          <w:b/>
          <w:spacing w:val="-2"/>
          <w:sz w:val="18"/>
          <w:lang w:eastAsia="hi-IN" w:bidi="hi-IN"/>
        </w:rPr>
      </w:pPr>
    </w:p>
    <w:tbl>
      <w:tblPr>
        <w:tblStyle w:val="46"/>
        <w:tblW w:w="9931" w:type="dxa"/>
        <w:jc w:val="center"/>
        <w:tblInd w:w="0" w:type="dxa"/>
        <w:tblLayout w:type="fixed"/>
        <w:tblCellMar>
          <w:top w:w="0" w:type="dxa"/>
          <w:left w:w="0" w:type="dxa"/>
          <w:bottom w:w="0" w:type="dxa"/>
          <w:right w:w="0" w:type="dxa"/>
        </w:tblCellMar>
      </w:tblPr>
      <w:tblGrid>
        <w:gridCol w:w="572"/>
        <w:gridCol w:w="1732"/>
        <w:gridCol w:w="1245"/>
        <w:gridCol w:w="1417"/>
        <w:gridCol w:w="851"/>
        <w:gridCol w:w="992"/>
        <w:gridCol w:w="1559"/>
        <w:gridCol w:w="1563"/>
      </w:tblGrid>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173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Nombre completo</w:t>
            </w:r>
          </w:p>
        </w:tc>
        <w:tc>
          <w:tcPr>
            <w:tcW w:w="1245"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Titulación Académica</w:t>
            </w:r>
          </w:p>
        </w:tc>
        <w:tc>
          <w:tcPr>
            <w:tcW w:w="141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Nacionalidad</w:t>
            </w:r>
          </w:p>
        </w:tc>
        <w:tc>
          <w:tcPr>
            <w:tcW w:w="851"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Fecha grado</w:t>
            </w:r>
          </w:p>
        </w:tc>
        <w:tc>
          <w:tcPr>
            <w:tcW w:w="992"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Función</w:t>
            </w:r>
          </w:p>
        </w:tc>
        <w:tc>
          <w:tcPr>
            <w:tcW w:w="1559" w:type="dxa"/>
            <w:tcBorders>
              <w:top w:val="single" w:color="000000" w:sz="4" w:space="0"/>
              <w:left w:val="single" w:color="000000" w:sz="4" w:space="0"/>
              <w:bottom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Tiempo</w:t>
            </w:r>
          </w:p>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Participación</w:t>
            </w:r>
          </w:p>
        </w:tc>
        <w:tc>
          <w:tcPr>
            <w:tcW w:w="15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lang w:eastAsia="hi-IN" w:bidi="hi-IN"/>
              </w:rPr>
            </w:pPr>
            <w:r>
              <w:rPr>
                <w:rFonts w:ascii="Arial" w:hAnsi="Arial" w:eastAsia="Times New Roman" w:cs="Arial"/>
                <w:b/>
                <w:sz w:val="20"/>
                <w:lang w:eastAsia="hi-IN" w:bidi="hi-IN"/>
              </w:rPr>
              <w:t>Observaciones</w:t>
            </w: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34"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48"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461" w:hRule="atLeast"/>
          <w:jc w:val="center"/>
        </w:trPr>
        <w:tc>
          <w:tcPr>
            <w:tcW w:w="572" w:type="dxa"/>
            <w:tcBorders>
              <w:top w:val="single" w:color="000000" w:sz="4" w:space="0"/>
              <w:left w:val="single" w:color="000000" w:sz="4" w:space="0"/>
              <w:bottom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173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p>
            <w:pPr>
              <w:suppressAutoHyphens/>
              <w:spacing w:after="0" w:line="240" w:lineRule="auto"/>
              <w:ind w:left="15" w:right="45"/>
              <w:rPr>
                <w:rFonts w:ascii="Arial" w:hAnsi="Arial" w:eastAsia="Times New Roman" w:cs="Arial"/>
                <w:sz w:val="20"/>
                <w:lang w:eastAsia="hi-IN" w:bidi="hi-IN"/>
              </w:rPr>
            </w:pPr>
          </w:p>
        </w:tc>
        <w:tc>
          <w:tcPr>
            <w:tcW w:w="1245"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17"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c>
          <w:tcPr>
            <w:tcW w:w="851"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992"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59"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18"/>
          <w:lang w:eastAsia="hi-IN" w:bidi="hi-IN"/>
        </w:rPr>
      </w:pPr>
    </w:p>
    <w:p>
      <w:pPr>
        <w:suppressAutoHyphens/>
        <w:spacing w:after="0" w:line="240" w:lineRule="auto"/>
        <w:ind w:left="15" w:right="45"/>
        <w:jc w:val="both"/>
        <w:rPr>
          <w:rFonts w:ascii="Arial" w:hAnsi="Arial" w:eastAsia="Times New Roman" w:cs="Arial"/>
          <w:sz w:val="18"/>
          <w:lang w:eastAsia="hi-IN" w:bidi="hi-IN"/>
        </w:rPr>
      </w:pPr>
      <w:r>
        <w:rPr>
          <w:rFonts w:ascii="Arial" w:hAnsi="Arial" w:eastAsia="Times New Roman" w:cs="Arial"/>
          <w:sz w:val="18"/>
          <w:lang w:eastAsia="hi-IN" w:bidi="hi-IN"/>
        </w:rPr>
        <w:t xml:space="preserve">NOTA: De acuerdo con el artículo 24 de la Ley de Ejercicio Profesional de la ingeniería, se deberá cumplir con lo siguiente: </w:t>
      </w:r>
    </w:p>
    <w:p>
      <w:pPr>
        <w:suppressAutoHyphens/>
        <w:spacing w:after="0" w:line="240" w:lineRule="auto"/>
        <w:ind w:left="15" w:right="45"/>
        <w:jc w:val="both"/>
        <w:rPr>
          <w:rFonts w:ascii="Arial" w:hAnsi="Arial" w:eastAsia="Times New Roman" w:cs="Arial"/>
          <w:sz w:val="18"/>
          <w:lang w:eastAsia="hi-IN" w:bidi="hi-IN"/>
        </w:rPr>
      </w:pPr>
    </w:p>
    <w:p>
      <w:pPr>
        <w:suppressAutoHyphens/>
        <w:spacing w:after="0" w:line="240" w:lineRule="auto"/>
        <w:ind w:left="15" w:right="45"/>
        <w:rPr>
          <w:rFonts w:ascii="Arial" w:hAnsi="Arial" w:eastAsia="Times New Roman" w:cs="Arial"/>
          <w:spacing w:val="-2"/>
          <w:sz w:val="18"/>
          <w:lang w:eastAsia="hi-IN" w:bidi="hi-IN"/>
        </w:rPr>
      </w:pPr>
    </w:p>
    <w:p>
      <w:pPr>
        <w:pStyle w:val="57"/>
        <w:numPr>
          <w:ilvl w:val="0"/>
          <w:numId w:val="17"/>
        </w:numPr>
        <w:ind w:right="45"/>
        <w:jc w:val="both"/>
        <w:rPr>
          <w:rFonts w:ascii="Arial" w:hAnsi="Arial" w:cs="Arial"/>
          <w:sz w:val="20"/>
          <w:szCs w:val="22"/>
        </w:rPr>
      </w:pPr>
      <w:r>
        <w:rPr>
          <w:rFonts w:ascii="Arial" w:hAnsi="Arial" w:cs="Arial"/>
          <w:sz w:val="20"/>
          <w:szCs w:val="22"/>
        </w:rPr>
        <w:t xml:space="preserve">Las empresas nacionales o extranjeras, para realizar trabajos de ingeniería en el Ecuador, deberán contar con los servicios de un ingeniero ecuatoriano en ejercicio legal de su profesión, en calidad de representante técnico afín a la naturaleza del trabajo que se realice. </w:t>
      </w:r>
    </w:p>
    <w:p>
      <w:pPr>
        <w:pStyle w:val="57"/>
        <w:ind w:left="735" w:right="45"/>
        <w:jc w:val="both"/>
        <w:rPr>
          <w:rFonts w:ascii="Arial" w:hAnsi="Arial" w:cs="Arial"/>
          <w:sz w:val="20"/>
          <w:szCs w:val="22"/>
        </w:rPr>
      </w:pPr>
    </w:p>
    <w:p>
      <w:pPr>
        <w:suppressAutoHyphens/>
        <w:spacing w:after="0" w:line="240" w:lineRule="auto"/>
        <w:ind w:left="15" w:right="45"/>
        <w:rPr>
          <w:rFonts w:ascii="Arial" w:hAnsi="Arial" w:eastAsia="Times New Roman" w:cs="Arial"/>
          <w:spacing w:val="-2"/>
          <w:sz w:val="18"/>
          <w:lang w:eastAsia="hi-IN" w:bidi="hi-IN"/>
        </w:rPr>
      </w:pPr>
    </w:p>
    <w:p>
      <w:pPr>
        <w:spacing w:after="0" w:line="240" w:lineRule="auto"/>
        <w:rPr>
          <w:rFonts w:ascii="Arial" w:hAnsi="Arial" w:eastAsia="Times New Roman" w:cs="Arial"/>
          <w:b/>
          <w:sz w:val="18"/>
          <w:lang w:eastAsia="hi-IN" w:bidi="hi-IN"/>
        </w:rPr>
      </w:pPr>
      <w:r>
        <w:rPr>
          <w:rFonts w:ascii="Arial" w:hAnsi="Arial" w:eastAsia="Times New Roman" w:cs="Arial"/>
          <w:b/>
          <w:sz w:val="18"/>
          <w:lang w:eastAsia="hi-IN" w:bidi="hi-IN"/>
        </w:rPr>
        <w:br w:type="page"/>
      </w:r>
      <w:r>
        <w:rPr>
          <w:rFonts w:ascii="Arial" w:hAnsi="Arial" w:eastAsia="Times New Roman" w:cs="Arial"/>
          <w:b/>
          <w:sz w:val="18"/>
          <w:lang w:eastAsia="hi-IN" w:bidi="hi-IN"/>
        </w:rPr>
        <w:t>1.10</w:t>
      </w:r>
      <w:r>
        <w:rPr>
          <w:rFonts w:ascii="Arial" w:hAnsi="Arial" w:eastAsia="Times New Roman" w:cs="Arial"/>
          <w:b/>
          <w:sz w:val="18"/>
          <w:lang w:eastAsia="hi-IN" w:bidi="hi-IN"/>
        </w:rPr>
        <w:tab/>
      </w:r>
      <w:r>
        <w:rPr>
          <w:rFonts w:ascii="Arial" w:hAnsi="Arial" w:eastAsia="Times New Roman" w:cs="Arial"/>
          <w:b/>
          <w:sz w:val="18"/>
          <w:lang w:eastAsia="hi-IN" w:bidi="hi-IN"/>
        </w:rPr>
        <w:t>EQUIPO ASIGNADO AL PROYECTO</w:t>
      </w:r>
    </w:p>
    <w:p>
      <w:pPr>
        <w:suppressAutoHyphens/>
        <w:spacing w:after="0" w:line="240" w:lineRule="auto"/>
        <w:ind w:left="15" w:right="45"/>
        <w:rPr>
          <w:rFonts w:ascii="Arial" w:hAnsi="Arial" w:eastAsia="Times New Roman" w:cs="Arial"/>
          <w:b/>
          <w:spacing w:val="-2"/>
          <w:sz w:val="20"/>
          <w:lang w:eastAsia="hi-IN" w:bidi="hi-IN"/>
        </w:rPr>
      </w:pPr>
    </w:p>
    <w:tbl>
      <w:tblPr>
        <w:tblStyle w:val="46"/>
        <w:tblW w:w="9787" w:type="dxa"/>
        <w:tblInd w:w="-269" w:type="dxa"/>
        <w:tblLayout w:type="fixed"/>
        <w:tblCellMar>
          <w:top w:w="0" w:type="dxa"/>
          <w:left w:w="0" w:type="dxa"/>
          <w:bottom w:w="0" w:type="dxa"/>
          <w:right w:w="0" w:type="dxa"/>
        </w:tblCellMar>
      </w:tblPr>
      <w:tblGrid>
        <w:gridCol w:w="633"/>
        <w:gridCol w:w="1948"/>
        <w:gridCol w:w="1420"/>
        <w:gridCol w:w="1518"/>
        <w:gridCol w:w="1276"/>
        <w:gridCol w:w="1474"/>
        <w:gridCol w:w="1518"/>
      </w:tblGrid>
      <w:tr>
        <w:tblPrEx>
          <w:tblLayout w:type="fixed"/>
          <w:tblCellMar>
            <w:top w:w="0" w:type="dxa"/>
            <w:left w:w="0" w:type="dxa"/>
            <w:bottom w:w="0" w:type="dxa"/>
            <w:right w:w="0" w:type="dxa"/>
          </w:tblCellMar>
        </w:tblPrEx>
        <w:trPr>
          <w:trHeight w:val="215" w:hRule="atLeast"/>
        </w:trPr>
        <w:tc>
          <w:tcPr>
            <w:tcW w:w="633"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194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 del equipo</w:t>
            </w:r>
          </w:p>
        </w:tc>
        <w:tc>
          <w:tcPr>
            <w:tcW w:w="1420"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Cantidad</w:t>
            </w:r>
          </w:p>
        </w:tc>
        <w:tc>
          <w:tcPr>
            <w:tcW w:w="1518" w:type="dxa"/>
            <w:tcBorders>
              <w:top w:val="single" w:color="000000" w:sz="4" w:space="0"/>
              <w:lef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Característica</w:t>
            </w:r>
          </w:p>
        </w:tc>
        <w:tc>
          <w:tcPr>
            <w:tcW w:w="1276" w:type="dxa"/>
            <w:tcBorders>
              <w:top w:val="single" w:color="000000" w:sz="4" w:space="0"/>
              <w:left w:val="single" w:color="000000" w:sz="4" w:space="0"/>
            </w:tcBorders>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Año de Fabricación</w:t>
            </w:r>
          </w:p>
        </w:tc>
        <w:tc>
          <w:tcPr>
            <w:tcW w:w="1474" w:type="dxa"/>
            <w:tcBorders>
              <w:top w:val="single" w:color="000000" w:sz="4" w:space="0"/>
              <w:left w:val="single" w:color="000000" w:sz="4" w:space="0"/>
              <w:right w:val="single" w:color="000000" w:sz="4" w:space="0"/>
            </w:tcBorders>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Relación de Propiedad</w:t>
            </w:r>
          </w:p>
        </w:tc>
        <w:tc>
          <w:tcPr>
            <w:tcW w:w="1518" w:type="dxa"/>
            <w:tcBorders>
              <w:top w:val="single" w:color="000000" w:sz="4" w:space="0"/>
              <w:left w:val="single" w:color="000000" w:sz="4" w:space="0"/>
              <w:right w:val="single" w:color="000000" w:sz="4" w:space="0"/>
            </w:tcBorders>
            <w:shd w:val="clear" w:color="auto" w:fill="D9D9D9"/>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 Matrícula</w:t>
            </w: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54" w:hRule="atLeast"/>
        </w:trPr>
        <w:tc>
          <w:tcPr>
            <w:tcW w:w="633"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r>
        <w:tblPrEx>
          <w:tblLayout w:type="fixed"/>
          <w:tblCellMar>
            <w:top w:w="0" w:type="dxa"/>
            <w:left w:w="0" w:type="dxa"/>
            <w:bottom w:w="0" w:type="dxa"/>
            <w:right w:w="0" w:type="dxa"/>
          </w:tblCellMar>
        </w:tblPrEx>
        <w:trPr>
          <w:trHeight w:val="267" w:hRule="atLeast"/>
        </w:trPr>
        <w:tc>
          <w:tcPr>
            <w:tcW w:w="633"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94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20"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276" w:type="dxa"/>
            <w:tcBorders>
              <w:top w:val="single" w:color="000000" w:sz="4" w:space="0"/>
              <w:left w:val="single" w:color="000000" w:sz="4" w:space="0"/>
              <w:bottom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518" w:type="dxa"/>
            <w:tcBorders>
              <w:top w:val="single" w:color="000000" w:sz="4" w:space="0"/>
              <w:left w:val="single" w:color="000000" w:sz="4" w:space="0"/>
              <w:bottom w:val="single" w:color="000000" w:sz="4" w:space="0"/>
              <w:right w:val="single" w:color="000000" w:sz="4" w:space="0"/>
            </w:tcBorders>
          </w:tcPr>
          <w:p>
            <w:pPr>
              <w:suppressAutoHyphens/>
              <w:snapToGrid w:val="0"/>
              <w:spacing w:after="0" w:line="240" w:lineRule="auto"/>
              <w:ind w:left="15" w:right="45"/>
              <w:rPr>
                <w:rFonts w:ascii="Arial" w:hAnsi="Arial" w:eastAsia="Times New Roman" w:cs="Arial"/>
                <w:sz w:val="20"/>
                <w:lang w:eastAsia="hi-IN" w:bidi="hi-IN"/>
              </w:rPr>
            </w:pPr>
          </w:p>
        </w:tc>
      </w:tr>
    </w:tbl>
    <w:p>
      <w:pPr>
        <w:suppressAutoHyphens/>
        <w:spacing w:after="0" w:line="240" w:lineRule="auto"/>
        <w:ind w:left="15" w:right="45"/>
        <w:rPr>
          <w:rFonts w:ascii="Arial" w:hAnsi="Arial" w:eastAsia="Times New Roman" w:cs="Arial"/>
          <w:sz w:val="20"/>
          <w:lang w:eastAsia="hi-IN" w:bidi="hi-IN"/>
        </w:rPr>
      </w:pPr>
    </w:p>
    <w:p>
      <w:pPr>
        <w:suppressAutoHyphens/>
        <w:spacing w:after="0" w:line="240" w:lineRule="auto"/>
        <w:ind w:right="45"/>
        <w:jc w:val="center"/>
        <w:textAlignment w:val="baseline"/>
        <w:rPr>
          <w:rFonts w:ascii="Arial" w:hAnsi="Arial" w:eastAsia="Times New Roman" w:cs="Arial"/>
          <w:sz w:val="20"/>
          <w:lang w:eastAsia="hi-IN" w:bidi="hi-IN"/>
        </w:rPr>
      </w:pPr>
      <w:r>
        <w:rPr>
          <w:rFonts w:ascii="Arial" w:hAnsi="Arial" w:eastAsia="Times New Roman" w:cs="Arial"/>
          <w:sz w:val="20"/>
          <w:lang w:eastAsia="hi-IN" w:bidi="hi-IN"/>
        </w:rPr>
        <w:t>** La columna con información de matrícula deberá ser completada exclusivamente tratándose de vehículos y equipo caminero.</w:t>
      </w:r>
    </w:p>
    <w:p>
      <w:pPr>
        <w:rPr>
          <w:rFonts w:ascii="Arial" w:hAnsi="Arial" w:eastAsia="Times New Roman" w:cs="Arial"/>
          <w:sz w:val="20"/>
          <w:lang w:eastAsia="hi-IN" w:bidi="hi-IN"/>
        </w:rPr>
      </w:pPr>
      <w:r>
        <w:rPr>
          <w:rFonts w:ascii="Arial" w:hAnsi="Arial" w:eastAsia="Times New Roman" w:cs="Arial"/>
          <w:sz w:val="20"/>
          <w:lang w:eastAsia="hi-IN" w:bidi="hi-IN"/>
        </w:rPr>
        <w:br w:type="page"/>
      </w:r>
    </w:p>
    <w:p>
      <w:pPr>
        <w:suppressAutoHyphens/>
        <w:spacing w:after="0" w:line="240" w:lineRule="auto"/>
        <w:ind w:right="45"/>
        <w:jc w:val="center"/>
        <w:textAlignment w:val="baseline"/>
        <w:rPr>
          <w:rFonts w:ascii="Arial" w:hAnsi="Arial" w:eastAsia="Times New Roman" w:cs="Arial"/>
          <w:sz w:val="20"/>
          <w:lang w:eastAsia="hi-IN" w:bidi="hi-IN"/>
        </w:rPr>
      </w:pPr>
    </w:p>
    <w:p>
      <w:pPr>
        <w:pBdr>
          <w:top w:val="single" w:color="auto" w:sz="4" w:space="1"/>
          <w:left w:val="single" w:color="auto" w:sz="4" w:space="4"/>
          <w:bottom w:val="single" w:color="auto" w:sz="4" w:space="1"/>
          <w:right w:val="single" w:color="auto" w:sz="4" w:space="4"/>
        </w:pBdr>
        <w:shd w:val="clear" w:color="auto" w:fill="F2F2F2"/>
        <w:tabs>
          <w:tab w:val="center" w:pos="4680"/>
        </w:tabs>
        <w:suppressAutoHyphens/>
        <w:spacing w:after="0" w:line="240" w:lineRule="auto"/>
        <w:jc w:val="center"/>
        <w:rPr>
          <w:rFonts w:ascii="Arial" w:hAnsi="Arial" w:eastAsia="Times New Roman" w:cs="Arial"/>
          <w:b/>
          <w:bCs/>
          <w:szCs w:val="20"/>
          <w:lang w:eastAsia="hi-IN" w:bidi="hi-IN"/>
        </w:rPr>
      </w:pPr>
      <w:r>
        <w:rPr>
          <w:rFonts w:ascii="Arial" w:hAnsi="Arial" w:eastAsia="Times New Roman" w:cs="Arial"/>
          <w:b/>
          <w:bCs/>
          <w:szCs w:val="20"/>
          <w:lang w:eastAsia="hi-IN" w:bidi="hi-IN"/>
        </w:rPr>
        <w:t>SECCIÓN X.  FORMULARIO DE COMPROMISO DE PARTICIPACION DEL PERSONAL TECNICO Y HOJA DE VIDA</w:t>
      </w:r>
    </w:p>
    <w:p>
      <w:pPr>
        <w:tabs>
          <w:tab w:val="center" w:pos="4680"/>
        </w:tabs>
        <w:suppressAutoHyphens/>
        <w:spacing w:after="0" w:line="240" w:lineRule="auto"/>
        <w:rPr>
          <w:rFonts w:ascii="Arial" w:hAnsi="Arial" w:eastAsia="Times New Roman" w:cs="Arial"/>
          <w:b/>
          <w:bCs/>
          <w:szCs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r>
        <w:rPr>
          <w:rFonts w:ascii="Arial" w:hAnsi="Arial" w:eastAsia="Times New Roman" w:cs="Arial"/>
          <w:b/>
          <w:bCs/>
          <w:sz w:val="20"/>
          <w:lang w:eastAsia="hi-IN" w:bidi="hi-IN"/>
        </w:rPr>
        <w:t>2.1   COMPROMISO DEL PROFESIONAL ASIGNADO AL PROYECTO</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jc w:val="right"/>
        <w:rPr>
          <w:rFonts w:ascii="Arial" w:hAnsi="Arial" w:eastAsia="Times New Roman" w:cs="Arial"/>
          <w:bCs/>
          <w:sz w:val="20"/>
          <w:lang w:eastAsia="hi-IN" w:bidi="hi-IN"/>
        </w:rPr>
      </w:pPr>
      <w:r>
        <w:rPr>
          <w:rFonts w:ascii="Arial" w:hAnsi="Arial" w:eastAsia="Times New Roman" w:cs="Arial"/>
          <w:bCs/>
          <w:sz w:val="20"/>
          <w:lang w:eastAsia="hi-IN" w:bidi="hi-IN"/>
        </w:rPr>
        <w:t>Hoja ____ de ___</w:t>
      </w: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tabs>
          <w:tab w:val="center" w:pos="4680"/>
        </w:tabs>
        <w:suppressAutoHyphens/>
        <w:spacing w:after="0" w:line="240" w:lineRule="auto"/>
        <w:rPr>
          <w:rFonts w:ascii="Arial" w:hAnsi="Arial" w:eastAsia="Times New Roman" w:cs="Arial"/>
          <w:b/>
          <w:bCs/>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 xml:space="preserve">Yo, ……………………………….. </w:t>
      </w:r>
      <w:r>
        <w:rPr>
          <w:rFonts w:ascii="Arial" w:hAnsi="Arial" w:eastAsia="Times New Roman" w:cs="Arial"/>
          <w:i/>
          <w:iCs/>
          <w:sz w:val="20"/>
          <w:lang w:eastAsia="hi-IN" w:bidi="hi-IN"/>
        </w:rPr>
        <w:t>(nombre del profesional)</w:t>
      </w:r>
      <w:r>
        <w:rPr>
          <w:rFonts w:ascii="Arial" w:hAnsi="Arial" w:eastAsia="Times New Roman" w:cs="Arial"/>
          <w:sz w:val="20"/>
          <w:lang w:eastAsia="hi-IN" w:bidi="hi-IN"/>
        </w:rPr>
        <w:t xml:space="preserve">, me comprometo con ……………………………. </w:t>
      </w:r>
      <w:r>
        <w:rPr>
          <w:rFonts w:ascii="Arial" w:hAnsi="Arial" w:eastAsia="Times New Roman" w:cs="Arial"/>
          <w:i/>
          <w:iCs/>
          <w:sz w:val="20"/>
          <w:lang w:eastAsia="hi-IN" w:bidi="hi-IN"/>
        </w:rPr>
        <w:t xml:space="preserve">(nombre del oferente) </w:t>
      </w:r>
      <w:r>
        <w:rPr>
          <w:rFonts w:ascii="Arial" w:hAnsi="Arial" w:eastAsia="Times New Roman" w:cs="Arial"/>
          <w:sz w:val="20"/>
          <w:lang w:eastAsia="hi-IN" w:bidi="hi-IN"/>
        </w:rPr>
        <w:t xml:space="preserve">a prestar mis servicios en calidad de ……………… </w:t>
      </w:r>
      <w:r>
        <w:rPr>
          <w:rFonts w:ascii="Arial" w:hAnsi="Arial" w:eastAsia="Times New Roman" w:cs="Arial"/>
          <w:i/>
          <w:iCs/>
          <w:sz w:val="20"/>
          <w:lang w:eastAsia="hi-IN" w:bidi="hi-IN"/>
        </w:rPr>
        <w:t>(título profesional)</w:t>
      </w:r>
      <w:r>
        <w:rPr>
          <w:rFonts w:ascii="Arial" w:hAnsi="Arial" w:eastAsia="Times New Roman" w:cs="Arial"/>
          <w:sz w:val="20"/>
          <w:lang w:eastAsia="hi-IN" w:bidi="hi-IN"/>
        </w:rPr>
        <w:t xml:space="preserve">, para …………………… </w:t>
      </w:r>
      <w:r>
        <w:rPr>
          <w:rFonts w:ascii="Arial" w:hAnsi="Arial" w:eastAsia="Times New Roman" w:cs="Arial"/>
          <w:i/>
          <w:iCs/>
          <w:sz w:val="20"/>
          <w:lang w:eastAsia="hi-IN" w:bidi="hi-IN"/>
        </w:rPr>
        <w:t>(cargo asignado)</w:t>
      </w:r>
      <w:r>
        <w:rPr>
          <w:rFonts w:ascii="Arial" w:hAnsi="Arial" w:eastAsia="Times New Roman" w:cs="Arial"/>
          <w:sz w:val="20"/>
          <w:lang w:eastAsia="hi-IN" w:bidi="hi-IN"/>
        </w:rPr>
        <w:t xml:space="preserve"> durante la realización del proyecto, en caso de que ………………….. </w:t>
      </w:r>
      <w:r>
        <w:rPr>
          <w:rFonts w:ascii="Arial" w:hAnsi="Arial" w:eastAsia="Times New Roman" w:cs="Arial"/>
          <w:i/>
          <w:iCs/>
          <w:sz w:val="20"/>
          <w:lang w:eastAsia="hi-IN" w:bidi="hi-IN"/>
        </w:rPr>
        <w:t>(nombre del oferente)</w:t>
      </w:r>
      <w:r>
        <w:rPr>
          <w:rFonts w:ascii="Arial" w:hAnsi="Arial" w:eastAsia="Times New Roman" w:cs="Arial"/>
          <w:sz w:val="20"/>
          <w:lang w:eastAsia="hi-IN" w:bidi="hi-IN"/>
        </w:rPr>
        <w:t xml:space="preserve"> resultare adjudicatario, adjuntando para el efecto al presente compromiso, mi hoja de vida correspondiente, numeral 2.2 de este formulario.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w:t>
      </w: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Lugar y Fecha</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__________________________</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(Firma, Nombre y Número CC)</w:t>
      </w:r>
    </w:p>
    <w:p>
      <w:pPr>
        <w:tabs>
          <w:tab w:val="center" w:pos="4680"/>
        </w:tabs>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(Profesional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Notas:</w:t>
      </w:r>
    </w:p>
    <w:p>
      <w:pPr>
        <w:suppressAutoHyphens/>
        <w:spacing w:after="0" w:line="240" w:lineRule="auto"/>
        <w:jc w:val="both"/>
        <w:rPr>
          <w:rFonts w:ascii="Arial" w:hAnsi="Arial" w:eastAsia="Times New Roman" w:cs="Arial"/>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Este formulario deberá estar firmado por el profesional para ser considerado en el proyecto, exclusivamente.</w:t>
      </w:r>
    </w:p>
    <w:p>
      <w:pPr>
        <w:ind w:left="720"/>
        <w:contextualSpacing/>
        <w:jc w:val="both"/>
        <w:rPr>
          <w:rFonts w:ascii="Arial" w:hAnsi="Arial" w:eastAsia="Times New Roman" w:cs="Arial"/>
          <w:i/>
          <w:sz w:val="20"/>
          <w:lang w:eastAsia="hi-IN" w:bidi="hi-IN"/>
        </w:rPr>
      </w:pPr>
    </w:p>
    <w:p>
      <w:pPr>
        <w:numPr>
          <w:ilvl w:val="0"/>
          <w:numId w:val="18"/>
        </w:numPr>
        <w:suppressAutoHyphens/>
        <w:spacing w:after="0" w:line="240" w:lineRule="auto"/>
        <w:contextualSpacing/>
        <w:jc w:val="both"/>
        <w:rPr>
          <w:rFonts w:ascii="Arial" w:hAnsi="Arial" w:eastAsia="Times New Roman" w:cs="Arial"/>
          <w:i/>
          <w:sz w:val="20"/>
          <w:lang w:eastAsia="hi-IN" w:bidi="hi-IN"/>
        </w:rPr>
      </w:pPr>
      <w:r>
        <w:rPr>
          <w:rFonts w:ascii="Arial" w:hAnsi="Arial" w:eastAsia="Times New Roman" w:cs="Arial"/>
          <w:i/>
          <w:sz w:val="20"/>
          <w:lang w:eastAsia="hi-IN" w:bidi="hi-IN"/>
        </w:rPr>
        <w:t>Incluir información de cada experiencia profesional en el formato detallado en el numeral 2.2 de este formulario.</w:t>
      </w:r>
    </w:p>
    <w:p>
      <w:pPr>
        <w:suppressAutoHyphens/>
        <w:spacing w:after="0" w:line="240" w:lineRule="auto"/>
        <w:rPr>
          <w:rFonts w:ascii="Arial" w:hAnsi="Arial" w:eastAsia="Times New Roman" w:cs="Arial"/>
          <w:b/>
          <w:bCs/>
          <w:sz w:val="20"/>
          <w:lang w:eastAsia="hi-IN" w:bidi="hi-IN"/>
        </w:rPr>
      </w:pPr>
      <w:r>
        <w:rPr>
          <w:rFonts w:ascii="Arial" w:hAnsi="Arial" w:eastAsia="Times New Roman" w:cs="Arial"/>
          <w:i/>
          <w:sz w:val="18"/>
          <w:lang w:eastAsia="hi-IN" w:bidi="hi-IN"/>
        </w:rPr>
        <w:br w:type="page"/>
      </w:r>
      <w:r>
        <w:rPr>
          <w:rFonts w:ascii="Arial" w:hAnsi="Arial" w:eastAsia="Times New Roman" w:cs="Arial"/>
          <w:b/>
          <w:bCs/>
          <w:sz w:val="20"/>
          <w:lang w:eastAsia="hi-IN" w:bidi="hi-IN"/>
        </w:rPr>
        <w:t>2.2  HOJA DE VIDA DEL PERSONAL TÉCNICO CLAVE ASIGNADO AL PROYECTO</w:t>
      </w:r>
    </w:p>
    <w:p>
      <w:pPr>
        <w:suppressAutoHyphens/>
        <w:spacing w:after="0" w:line="240" w:lineRule="auto"/>
        <w:jc w:val="both"/>
        <w:rPr>
          <w:rFonts w:ascii="Arial" w:hAnsi="Arial" w:eastAsia="Times New Roman" w:cs="Arial"/>
          <w:sz w:val="20"/>
          <w:lang w:eastAsia="hi-IN" w:bidi="hi-IN"/>
        </w:rPr>
      </w:pPr>
    </w:p>
    <w:p>
      <w:pPr>
        <w:suppressAutoHyphens/>
        <w:spacing w:after="0" w:line="240" w:lineRule="auto"/>
        <w:jc w:val="right"/>
        <w:rPr>
          <w:rFonts w:ascii="Arial" w:hAnsi="Arial" w:eastAsia="Times New Roman" w:cs="Arial"/>
          <w:sz w:val="20"/>
          <w:lang w:eastAsia="hi-IN" w:bidi="hi-IN"/>
        </w:rPr>
      </w:pPr>
      <w:r>
        <w:rPr>
          <w:rFonts w:ascii="Arial" w:hAnsi="Arial" w:eastAsia="Times New Roman" w:cs="Arial"/>
          <w:sz w:val="20"/>
          <w:lang w:eastAsia="hi-IN" w:bidi="hi-IN"/>
        </w:rPr>
        <w:t>Hoja ___ de ___</w:t>
      </w:r>
    </w:p>
    <w:p>
      <w:pPr>
        <w:suppressAutoHyphens/>
        <w:spacing w:after="0" w:line="240" w:lineRule="auto"/>
        <w:jc w:val="both"/>
        <w:rPr>
          <w:rFonts w:ascii="Arial" w:hAnsi="Arial" w:eastAsia="Times New Roman" w:cs="Arial"/>
          <w:sz w:val="20"/>
          <w:lang w:eastAsia="hi-IN" w:bidi="hi-IN"/>
        </w:rPr>
      </w:pP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1.</w:t>
      </w:r>
      <w:r>
        <w:rPr>
          <w:rFonts w:ascii="Arial" w:hAnsi="Arial" w:eastAsia="Times New Roman" w:cs="Arial"/>
          <w:sz w:val="20"/>
          <w:lang w:eastAsia="hi-IN" w:bidi="hi-IN"/>
        </w:rPr>
        <w:tab/>
      </w:r>
      <w:r>
        <w:rPr>
          <w:rFonts w:ascii="Arial" w:hAnsi="Arial" w:eastAsia="Times New Roman" w:cs="Arial"/>
          <w:sz w:val="20"/>
          <w:lang w:eastAsia="hi-IN" w:bidi="hi-IN"/>
        </w:rPr>
        <w:t>Nombres completos:</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2.</w:t>
      </w:r>
      <w:r>
        <w:rPr>
          <w:rFonts w:ascii="Arial" w:hAnsi="Arial" w:eastAsia="Times New Roman" w:cs="Arial"/>
          <w:sz w:val="20"/>
          <w:lang w:eastAsia="hi-IN" w:bidi="hi-IN"/>
        </w:rPr>
        <w:tab/>
      </w:r>
      <w:r>
        <w:rPr>
          <w:rFonts w:ascii="Arial" w:hAnsi="Arial" w:eastAsia="Times New Roman" w:cs="Arial"/>
          <w:sz w:val="20"/>
          <w:lang w:eastAsia="hi-IN" w:bidi="hi-IN"/>
        </w:rPr>
        <w:t>Lugar y fecha de nacimiento:</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3.</w:t>
      </w:r>
      <w:r>
        <w:rPr>
          <w:rFonts w:ascii="Arial" w:hAnsi="Arial" w:eastAsia="Times New Roman" w:cs="Arial"/>
          <w:sz w:val="20"/>
          <w:lang w:eastAsia="hi-IN" w:bidi="hi-IN"/>
        </w:rPr>
        <w:tab/>
      </w:r>
      <w:r>
        <w:rPr>
          <w:rFonts w:ascii="Arial" w:hAnsi="Arial" w:eastAsia="Times New Roman" w:cs="Arial"/>
          <w:sz w:val="20"/>
          <w:lang w:eastAsia="hi-IN" w:bidi="hi-IN"/>
        </w:rPr>
        <w:t xml:space="preserve">Nacionalidad: </w:t>
      </w:r>
      <w:r>
        <w:rPr>
          <w:rFonts w:ascii="Arial" w:hAnsi="Arial" w:eastAsia="Times New Roman" w:cs="Arial"/>
          <w:sz w:val="20"/>
          <w:lang w:eastAsia="hi-IN" w:bidi="hi-IN"/>
        </w:rPr>
        <w:tab/>
      </w:r>
      <w:r>
        <w:rPr>
          <w:rFonts w:ascii="Arial" w:hAnsi="Arial" w:eastAsia="Times New Roman" w:cs="Arial"/>
          <w:sz w:val="20"/>
          <w:lang w:eastAsia="hi-IN" w:bidi="hi-IN"/>
        </w:rPr>
        <w:t>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4.</w:t>
      </w:r>
      <w:r>
        <w:rPr>
          <w:rFonts w:ascii="Arial" w:hAnsi="Arial" w:eastAsia="Times New Roman" w:cs="Arial"/>
          <w:sz w:val="20"/>
          <w:lang w:eastAsia="hi-IN" w:bidi="hi-IN"/>
        </w:rPr>
        <w:tab/>
      </w:r>
      <w:r>
        <w:rPr>
          <w:rFonts w:ascii="Arial" w:hAnsi="Arial" w:eastAsia="Times New Roman" w:cs="Arial"/>
          <w:sz w:val="20"/>
          <w:lang w:eastAsia="hi-IN" w:bidi="hi-IN"/>
        </w:rPr>
        <w:t>Título profesional: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5.</w:t>
      </w:r>
      <w:r>
        <w:rPr>
          <w:rFonts w:ascii="Arial" w:hAnsi="Arial" w:eastAsia="Times New Roman" w:cs="Arial"/>
          <w:sz w:val="20"/>
          <w:lang w:eastAsia="hi-IN" w:bidi="hi-IN"/>
        </w:rPr>
        <w:tab/>
      </w:r>
      <w:r>
        <w:rPr>
          <w:rFonts w:ascii="Arial" w:hAnsi="Arial" w:eastAsia="Times New Roman" w:cs="Arial"/>
          <w:sz w:val="20"/>
          <w:lang w:eastAsia="hi-IN" w:bidi="hi-IN"/>
        </w:rPr>
        <w:t>Fecha de graduación: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Título IV nivel:</w:t>
      </w:r>
      <w:r>
        <w:rPr>
          <w:rFonts w:ascii="Arial" w:hAnsi="Arial" w:eastAsia="Times New Roman" w:cs="Arial"/>
          <w:sz w:val="20"/>
          <w:lang w:eastAsia="hi-IN" w:bidi="hi-IN"/>
        </w:rPr>
        <w:tab/>
      </w:r>
      <w:r>
        <w:rPr>
          <w:rFonts w:ascii="Arial" w:hAnsi="Arial" w:eastAsia="Times New Roman" w:cs="Arial"/>
          <w:sz w:val="20"/>
          <w:lang w:eastAsia="hi-IN" w:bidi="hi-IN"/>
        </w:rPr>
        <w:t xml:space="preserve">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7.</w:t>
      </w:r>
      <w:r>
        <w:rPr>
          <w:rFonts w:ascii="Arial" w:hAnsi="Arial" w:eastAsia="Times New Roman" w:cs="Arial"/>
          <w:sz w:val="20"/>
          <w:lang w:eastAsia="hi-IN" w:bidi="hi-IN"/>
        </w:rPr>
        <w:tab/>
      </w:r>
      <w:r>
        <w:rPr>
          <w:rFonts w:ascii="Arial" w:hAnsi="Arial" w:eastAsia="Times New Roman" w:cs="Arial"/>
          <w:sz w:val="20"/>
          <w:lang w:eastAsia="hi-IN" w:bidi="hi-IN"/>
        </w:rPr>
        <w:t>Fecha de obtención: __________________________________</w:t>
      </w:r>
    </w:p>
    <w:p>
      <w:pPr>
        <w:suppressAutoHyphens/>
        <w:spacing w:after="120" w:line="240" w:lineRule="auto"/>
        <w:jc w:val="both"/>
        <w:rPr>
          <w:rFonts w:ascii="Arial" w:hAnsi="Arial" w:eastAsia="Times New Roman" w:cs="Arial"/>
          <w:sz w:val="20"/>
          <w:lang w:eastAsia="hi-IN" w:bidi="hi-IN"/>
        </w:rPr>
      </w:pPr>
      <w:r>
        <w:rPr>
          <w:rFonts w:ascii="Arial" w:hAnsi="Arial" w:eastAsia="Times New Roman" w:cs="Arial"/>
          <w:sz w:val="20"/>
          <w:lang w:eastAsia="hi-IN" w:bidi="hi-IN"/>
        </w:rPr>
        <w:t>6.</w:t>
      </w:r>
      <w:r>
        <w:rPr>
          <w:rFonts w:ascii="Arial" w:hAnsi="Arial" w:eastAsia="Times New Roman" w:cs="Arial"/>
          <w:sz w:val="20"/>
          <w:lang w:eastAsia="hi-IN" w:bidi="hi-IN"/>
        </w:rPr>
        <w:tab/>
      </w:r>
      <w:r>
        <w:rPr>
          <w:rFonts w:ascii="Arial" w:hAnsi="Arial" w:eastAsia="Times New Roman" w:cs="Arial"/>
          <w:sz w:val="20"/>
          <w:lang w:eastAsia="hi-IN" w:bidi="hi-IN"/>
        </w:rPr>
        <w:t>Experiencia profesional:</w:t>
      </w:r>
    </w:p>
    <w:p>
      <w:pPr>
        <w:suppressAutoHyphens/>
        <w:spacing w:after="0" w:line="240" w:lineRule="auto"/>
        <w:jc w:val="both"/>
        <w:rPr>
          <w:rFonts w:ascii="Arial" w:hAnsi="Arial" w:eastAsia="Times New Roman" w:cs="Arial"/>
          <w:sz w:val="20"/>
          <w:lang w:eastAsia="hi-IN" w:bidi="hi-IN"/>
        </w:rPr>
      </w:pPr>
    </w:p>
    <w:tbl>
      <w:tblPr>
        <w:tblStyle w:val="46"/>
        <w:tblW w:w="9572" w:type="dxa"/>
        <w:tblInd w:w="-108" w:type="dxa"/>
        <w:tblLayout w:type="fixed"/>
        <w:tblCellMar>
          <w:top w:w="0" w:type="dxa"/>
          <w:left w:w="10" w:type="dxa"/>
          <w:bottom w:w="0" w:type="dxa"/>
          <w:right w:w="10" w:type="dxa"/>
        </w:tblCellMar>
      </w:tblPr>
      <w:tblGrid>
        <w:gridCol w:w="3193"/>
        <w:gridCol w:w="6379"/>
      </w:tblGrid>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Empresa / Institución: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Contratante:</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Monto del proyecto: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Papel desempeñado:</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r>
              <w:rPr>
                <w:rFonts w:ascii="Arial" w:hAnsi="Arial" w:eastAsia="Times New Roman" w:cs="Arial"/>
                <w:b/>
                <w:kern w:val="3"/>
                <w:sz w:val="20"/>
                <w:lang w:eastAsia="ar-SA"/>
              </w:rPr>
              <w:t>Tiempo de participación:</w:t>
            </w: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r>
        <w:tblPrEx>
          <w:tblLayout w:type="fixed"/>
          <w:tblCellMar>
            <w:top w:w="0" w:type="dxa"/>
            <w:left w:w="10" w:type="dxa"/>
            <w:bottom w:w="0" w:type="dxa"/>
            <w:right w:w="10" w:type="dxa"/>
          </w:tblCellMar>
        </w:tblPrEx>
        <w:trPr>
          <w:trHeight w:val="315" w:hRule="atLeast"/>
        </w:trPr>
        <w:tc>
          <w:tcPr>
            <w:tcW w:w="3193"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vAlign w:val="center"/>
          </w:tcPr>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r>
              <w:rPr>
                <w:rFonts w:ascii="Arial" w:hAnsi="Arial" w:eastAsia="Times New Roman" w:cs="Arial"/>
                <w:b/>
                <w:kern w:val="3"/>
                <w:sz w:val="20"/>
                <w:lang w:eastAsia="ar-SA"/>
              </w:rPr>
              <w:t>Actividades relevantes:</w:t>
            </w: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b/>
                <w:kern w:val="3"/>
                <w:sz w:val="20"/>
                <w:lang w:eastAsia="ar-SA"/>
              </w:rPr>
            </w:pPr>
          </w:p>
          <w:p>
            <w:pPr>
              <w:tabs>
                <w:tab w:val="left" w:pos="-695"/>
                <w:tab w:val="left" w:pos="708"/>
                <w:tab w:val="left" w:pos="745"/>
              </w:tabs>
              <w:suppressAutoHyphens/>
              <w:autoSpaceDN w:val="0"/>
              <w:spacing w:before="60" w:after="60"/>
              <w:textAlignment w:val="baseline"/>
              <w:rPr>
                <w:rFonts w:ascii="Arial" w:hAnsi="Arial" w:eastAsia="Times New Roman" w:cs="Arial"/>
                <w:kern w:val="3"/>
                <w:sz w:val="20"/>
                <w:lang w:eastAsia="ar-SA"/>
              </w:rPr>
            </w:pPr>
          </w:p>
        </w:tc>
        <w:tc>
          <w:tcPr>
            <w:tcW w:w="6379" w:type="dxa"/>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p>
            <w:pPr>
              <w:tabs>
                <w:tab w:val="left" w:pos="-695"/>
                <w:tab w:val="left" w:pos="708"/>
                <w:tab w:val="left" w:pos="745"/>
              </w:tabs>
              <w:suppressAutoHyphens/>
              <w:autoSpaceDN w:val="0"/>
              <w:spacing w:before="60" w:after="60"/>
              <w:jc w:val="both"/>
              <w:textAlignment w:val="baseline"/>
              <w:rPr>
                <w:rFonts w:ascii="Arial" w:hAnsi="Arial" w:eastAsia="Times New Roman" w:cs="Arial"/>
                <w:kern w:val="3"/>
                <w:sz w:val="20"/>
                <w:lang w:eastAsia="ar-SA"/>
              </w:rPr>
            </w:pPr>
          </w:p>
        </w:tc>
      </w:tr>
    </w:tbl>
    <w:p>
      <w:pPr>
        <w:tabs>
          <w:tab w:val="left" w:pos="-695"/>
          <w:tab w:val="left" w:pos="745"/>
        </w:tabs>
        <w:suppressAutoHyphens/>
        <w:spacing w:after="0" w:line="240" w:lineRule="auto"/>
        <w:ind w:left="4"/>
        <w:jc w:val="both"/>
        <w:rPr>
          <w:rFonts w:ascii="Arial" w:hAnsi="Arial" w:eastAsia="Times New Roman" w:cs="Arial"/>
          <w:szCs w:val="20"/>
          <w:lang w:eastAsia="hi-IN" w:bidi="hi-IN"/>
        </w:rPr>
      </w:pPr>
    </w:p>
    <w:p>
      <w:pPr>
        <w:spacing w:after="0" w:line="240" w:lineRule="auto"/>
        <w:rPr>
          <w:rFonts w:ascii="Arial" w:hAnsi="Arial" w:eastAsia="Times New Roman" w:cs="Arial"/>
          <w:szCs w:val="20"/>
          <w:lang w:eastAsia="hi-IN" w:bidi="hi-IN"/>
        </w:rPr>
      </w:pPr>
      <w:r>
        <w:rPr>
          <w:rFonts w:ascii="Arial" w:hAnsi="Arial" w:eastAsia="Times New Roman" w:cs="Arial"/>
          <w:szCs w:val="20"/>
          <w:lang w:eastAsia="hi-IN" w:bidi="hi-IN"/>
        </w:rPr>
        <w:br w:type="page"/>
      </w:r>
    </w:p>
    <w:p>
      <w:pPr>
        <w:tabs>
          <w:tab w:val="left" w:pos="-695"/>
          <w:tab w:val="left" w:pos="745"/>
        </w:tabs>
        <w:suppressAutoHyphens/>
        <w:spacing w:after="0" w:line="240" w:lineRule="auto"/>
        <w:ind w:left="4"/>
        <w:jc w:val="both"/>
        <w:rPr>
          <w:rFonts w:ascii="Arial" w:hAnsi="Arial" w:eastAsia="Times New Roman" w:cs="Arial"/>
          <w:sz w:val="20"/>
          <w:szCs w:val="20"/>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r>
        <w:rPr>
          <w:rFonts w:ascii="Arial" w:hAnsi="Arial" w:eastAsia="Times New Roman" w:cs="Arial"/>
          <w:b/>
          <w:bCs/>
          <w:sz w:val="20"/>
          <w:szCs w:val="20"/>
          <w:lang w:val="es-ES" w:bidi="hi-IN"/>
        </w:rPr>
        <w:t>SECCIÓN III.  FORMULARIO DE COMPROMISO DE ASOCIACIÓN O CONSORCIO</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szCs w:val="20"/>
          <w:lang w:val="es-ES" w:bidi="hi-IN"/>
        </w:rPr>
      </w:pPr>
    </w:p>
    <w:p>
      <w:pPr>
        <w:suppressAutoHyphens/>
        <w:spacing w:after="0" w:line="240" w:lineRule="auto"/>
        <w:jc w:val="both"/>
        <w:rPr>
          <w:rFonts w:ascii="Arial" w:hAnsi="Arial" w:eastAsia="Times New Roman" w:cs="Arial"/>
          <w:sz w:val="20"/>
          <w:lang w:bidi="hi-IN"/>
        </w:rPr>
      </w:pPr>
      <w:r>
        <w:rPr>
          <w:rFonts w:ascii="Arial" w:hAnsi="Arial" w:eastAsia="Times New Roman" w:cs="Arial"/>
          <w:sz w:val="20"/>
          <w:lang w:val="es-ES" w:bidi="hi-IN"/>
        </w:rPr>
        <w:t>Comparecen a la suscripción del presente compromiso, por una parte, ……….. ………, debidamente representada por …………… ………….</w:t>
      </w:r>
      <w:r>
        <w:rPr>
          <w:rFonts w:ascii="Arial" w:hAnsi="Arial" w:eastAsia="Times New Roman" w:cs="Arial"/>
          <w:b/>
          <w:sz w:val="20"/>
          <w:lang w:val="es-ES" w:bidi="hi-IN"/>
        </w:rPr>
        <w:t xml:space="preserve">; </w:t>
      </w:r>
      <w:r>
        <w:rPr>
          <w:rFonts w:ascii="Arial" w:hAnsi="Arial" w:eastAsia="Times New Roman" w:cs="Arial"/>
          <w:sz w:val="20"/>
          <w:lang w:val="es-ES" w:bidi="hi-IN"/>
        </w:rPr>
        <w:t>y, por otra parte, ………….…… representada por …………… ………….</w:t>
      </w:r>
      <w:r>
        <w:rPr>
          <w:rFonts w:ascii="Arial" w:hAnsi="Arial" w:eastAsia="Times New Roman" w:cs="Arial"/>
          <w:bCs/>
          <w:sz w:val="20"/>
          <w:lang w:val="es-ES" w:bidi="hi-IN"/>
        </w:rPr>
        <w:t>, todos debidamente registrados en el RUP.</w:t>
      </w:r>
    </w:p>
    <w:p>
      <w:pPr>
        <w:suppressAutoHyphens/>
        <w:spacing w:after="0" w:line="240" w:lineRule="auto"/>
        <w:jc w:val="both"/>
        <w:rPr>
          <w:rFonts w:ascii="Arial" w:hAnsi="Arial" w:eastAsia="Times New Roman" w:cs="Arial"/>
          <w:sz w:val="20"/>
          <w:lang w:bidi="hi-IN"/>
        </w:rPr>
      </w:pPr>
    </w:p>
    <w:p>
      <w:pPr>
        <w:autoSpaceDE w:val="0"/>
        <w:autoSpaceDN w:val="0"/>
        <w:adjustRightInd w:val="0"/>
        <w:spacing w:after="0" w:line="240" w:lineRule="auto"/>
        <w:jc w:val="both"/>
        <w:rPr>
          <w:rFonts w:ascii="Arial" w:hAnsi="Arial" w:eastAsia="Times New Roman" w:cs="Arial"/>
          <w:b/>
          <w:sz w:val="20"/>
          <w:lang w:bidi="hi-IN"/>
        </w:rPr>
      </w:pPr>
      <w:r>
        <w:rPr>
          <w:rFonts w:ascii="Arial" w:hAnsi="Arial" w:eastAsia="Times New Roman" w:cs="Arial"/>
          <w:sz w:val="20"/>
          <w:lang w:val="es-ES" w:bidi="hi-IN"/>
        </w:rPr>
        <w:t xml:space="preserve">Los comparecientes, en las calidades que intervienen, capaces para contratar y obligarse, acuerdan suscribir el presente compromiso de Asociación o Consorcio para participar en el proceso licitatorio convocado por el GAD MUNICIPAL DEL CANTÓN CUENCA, para ejecutar: </w:t>
      </w:r>
      <w:r>
        <w:rPr>
          <w:rFonts w:ascii="Arial" w:hAnsi="Arial" w:eastAsia="Times New Roman" w:cs="Arial"/>
          <w:b/>
          <w:sz w:val="20"/>
          <w:lang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autoSpaceDE w:val="0"/>
        <w:autoSpaceDN w:val="0"/>
        <w:adjustRightInd w:val="0"/>
        <w:spacing w:after="0" w:line="240" w:lineRule="auto"/>
        <w:jc w:val="both"/>
        <w:rPr>
          <w:rFonts w:ascii="Arial" w:hAnsi="Arial" w:eastAsia="Times New Roman" w:cs="Arial"/>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pPr>
        <w:tabs>
          <w:tab w:val="center" w:pos="4536"/>
        </w:tabs>
        <w:suppressAutoHyphens/>
        <w:spacing w:after="0" w:line="240" w:lineRule="auto"/>
        <w:jc w:val="both"/>
        <w:rPr>
          <w:rFonts w:ascii="Arial" w:hAnsi="Arial" w:eastAsia="Times New Roman" w:cs="Arial"/>
          <w:b/>
          <w:bCs/>
          <w:sz w:val="20"/>
          <w:lang w:val="es-ES" w:bidi="hi-IN"/>
        </w:rPr>
      </w:pP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r>
        <w:rPr>
          <w:rFonts w:ascii="Arial" w:hAnsi="Arial" w:eastAsia="Times New Roman" w:cs="Arial"/>
          <w:spacing w:val="-2"/>
          <w:sz w:val="20"/>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pPr>
        <w:tabs>
          <w:tab w:val="left" w:pos="-1004"/>
        </w:tabs>
        <w:suppressAutoHyphens/>
        <w:spacing w:after="0" w:line="240" w:lineRule="auto"/>
        <w:ind w:right="-144"/>
        <w:jc w:val="both"/>
        <w:rPr>
          <w:rFonts w:ascii="Arial" w:hAnsi="Arial" w:eastAsia="Times New Roman" w:cs="Arial"/>
          <w:spacing w:val="-2"/>
          <w:sz w:val="20"/>
          <w:lang w:val="es-ES" w:eastAsia="hi-IN" w:bidi="hi-IN"/>
        </w:rPr>
      </w:pPr>
    </w:p>
    <w:tbl>
      <w:tblPr>
        <w:tblStyle w:val="46"/>
        <w:tblW w:w="9804"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2811"/>
        <w:gridCol w:w="2049"/>
        <w:gridCol w:w="219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 w:hRule="atLeast"/>
        </w:trPr>
        <w:tc>
          <w:tcPr>
            <w:tcW w:w="913"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w:t>
            </w:r>
          </w:p>
        </w:tc>
        <w:tc>
          <w:tcPr>
            <w:tcW w:w="2811"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Nombres completos del socio(s), accionista(s), partícipe(s)</w:t>
            </w:r>
          </w:p>
        </w:tc>
        <w:tc>
          <w:tcPr>
            <w:tcW w:w="2049"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extranjero, de ser el caso</w:t>
            </w:r>
          </w:p>
        </w:tc>
        <w:tc>
          <w:tcPr>
            <w:tcW w:w="2190" w:type="dxa"/>
            <w:shd w:val="clear" w:color="auto" w:fill="D9D9D9"/>
            <w:vAlign w:val="center"/>
          </w:tcPr>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Porcentaje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estructura de</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propiedad de la</w:t>
            </w:r>
          </w:p>
          <w:p>
            <w:pPr>
              <w:suppressAutoHyphens/>
              <w:snapToGrid w:val="0"/>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persona jurídica</w:t>
            </w:r>
          </w:p>
        </w:tc>
        <w:tc>
          <w:tcPr>
            <w:tcW w:w="1841" w:type="dxa"/>
            <w:shd w:val="clear" w:color="auto" w:fill="D9D9D9"/>
            <w:vAlign w:val="center"/>
          </w:tcPr>
          <w:p>
            <w:pPr>
              <w:suppressAutoHyphens/>
              <w:spacing w:after="0" w:line="240" w:lineRule="auto"/>
              <w:ind w:left="15" w:right="45"/>
              <w:jc w:val="center"/>
              <w:rPr>
                <w:rFonts w:ascii="Arial" w:hAnsi="Arial" w:eastAsia="Times New Roman" w:cs="Arial"/>
                <w:b/>
                <w:sz w:val="20"/>
                <w:szCs w:val="20"/>
                <w:lang w:eastAsia="hi-IN" w:bidi="hi-IN"/>
              </w:rPr>
            </w:pPr>
            <w:r>
              <w:rPr>
                <w:rFonts w:ascii="Arial" w:hAnsi="Arial" w:eastAsia="Times New Roman" w:cs="Arial"/>
                <w:b/>
                <w:sz w:val="20"/>
                <w:szCs w:val="20"/>
                <w:lang w:eastAsia="hi-IN" w:bidi="hi-IN"/>
              </w:rPr>
              <w:t>Naturaleza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trPr>
        <w:tc>
          <w:tcPr>
            <w:tcW w:w="913"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81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049"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2190"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c>
          <w:tcPr>
            <w:tcW w:w="1841" w:type="dxa"/>
            <w:shd w:val="clear" w:color="auto" w:fill="auto"/>
          </w:tcPr>
          <w:p>
            <w:pPr>
              <w:suppressAutoHyphens/>
              <w:snapToGrid w:val="0"/>
              <w:spacing w:after="0" w:line="240" w:lineRule="auto"/>
              <w:ind w:left="15" w:right="45"/>
              <w:rPr>
                <w:rFonts w:ascii="Arial" w:hAnsi="Arial" w:eastAsia="Times New Roman" w:cs="Arial"/>
                <w:sz w:val="20"/>
                <w:lang w:eastAsia="hi-IN" w:bidi="hi-IN"/>
              </w:rPr>
            </w:pPr>
          </w:p>
        </w:tc>
      </w:tr>
    </w:tbl>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20"/>
          <w:lang w:val="es-ES" w:eastAsia="hi-IN" w:bidi="hi-IN"/>
        </w:rPr>
      </w:pPr>
    </w:p>
    <w:p>
      <w:pPr>
        <w:tabs>
          <w:tab w:val="center" w:pos="4536"/>
        </w:tabs>
        <w:suppressAutoHyphens/>
        <w:spacing w:after="0" w:line="240" w:lineRule="auto"/>
        <w:jc w:val="both"/>
        <w:rPr>
          <w:rFonts w:ascii="Arial" w:hAnsi="Arial" w:eastAsia="Times New Roman" w:cs="Arial"/>
          <w:i/>
          <w:spacing w:val="-2"/>
          <w:sz w:val="18"/>
          <w:lang w:val="es-ES" w:eastAsia="hi-IN" w:bidi="hi-IN"/>
        </w:rPr>
      </w:pPr>
    </w:p>
    <w:p>
      <w:pPr>
        <w:tabs>
          <w:tab w:val="center" w:pos="4536"/>
        </w:tabs>
        <w:suppressAutoHyphens/>
        <w:spacing w:after="0" w:line="240" w:lineRule="auto"/>
        <w:jc w:val="both"/>
        <w:rPr>
          <w:rFonts w:ascii="Arial" w:hAnsi="Arial" w:eastAsia="Times New Roman" w:cs="Arial"/>
          <w:b/>
          <w:bCs/>
          <w:sz w:val="18"/>
          <w:lang w:val="es-ES" w:bidi="hi-IN"/>
        </w:rPr>
      </w:pPr>
    </w:p>
    <w:tbl>
      <w:tblPr>
        <w:tblStyle w:val="46"/>
        <w:tblW w:w="1016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976"/>
        <w:gridCol w:w="1976"/>
        <w:gridCol w:w="1440"/>
        <w:gridCol w:w="1540"/>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10162" w:type="dxa"/>
            <w:gridSpan w:val="7"/>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ACCIONISTAS DE LA EMPRESA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 w:hRule="atLeast"/>
        </w:trPr>
        <w:tc>
          <w:tcPr>
            <w:tcW w:w="642"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Razón Social</w:t>
            </w:r>
          </w:p>
        </w:tc>
        <w:tc>
          <w:tcPr>
            <w:tcW w:w="1976"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Nombres completos del socio(s), accionista(s), partícipe(s)</w:t>
            </w:r>
          </w:p>
        </w:tc>
        <w:tc>
          <w:tcPr>
            <w:tcW w:w="14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Número de cédula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identidad, ruc o identificación</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similar emitida por país</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extranjero, de ser el caso</w:t>
            </w:r>
          </w:p>
        </w:tc>
        <w:tc>
          <w:tcPr>
            <w:tcW w:w="1540" w:type="dxa"/>
            <w:shd w:val="clear" w:color="auto" w:fill="D9D9D9"/>
            <w:vAlign w:val="center"/>
          </w:tcPr>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Porcentaje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participación en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estructura de</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propiedad de la</w:t>
            </w:r>
          </w:p>
          <w:p>
            <w:pPr>
              <w:suppressAutoHyphens/>
              <w:snapToGrid w:val="0"/>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persona jurídica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Naturaleza</w:t>
            </w:r>
          </w:p>
        </w:tc>
        <w:tc>
          <w:tcPr>
            <w:tcW w:w="1294" w:type="dxa"/>
            <w:shd w:val="clear" w:color="auto" w:fill="D9D9D9"/>
            <w:vAlign w:val="center"/>
          </w:tcPr>
          <w:p>
            <w:pPr>
              <w:suppressAutoHyphens/>
              <w:spacing w:after="0" w:line="240" w:lineRule="auto"/>
              <w:ind w:left="15" w:right="45"/>
              <w:jc w:val="center"/>
              <w:rPr>
                <w:rFonts w:ascii="Arial" w:hAnsi="Arial" w:eastAsia="Times New Roman" w:cs="Arial"/>
                <w:b/>
                <w:szCs w:val="20"/>
                <w:lang w:eastAsia="hi-IN" w:bidi="hi-IN"/>
              </w:rPr>
            </w:pPr>
            <w:r>
              <w:rPr>
                <w:rFonts w:ascii="Arial" w:hAnsi="Arial" w:eastAsia="Times New Roman" w:cs="Arial"/>
                <w:b/>
                <w:szCs w:val="20"/>
                <w:lang w:eastAsia="hi-IN" w:bidi="hi-IN"/>
              </w:rPr>
              <w:t>Domicilio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 w:hRule="atLeast"/>
        </w:trPr>
        <w:tc>
          <w:tcPr>
            <w:tcW w:w="642"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976" w:type="dxa"/>
          </w:tcPr>
          <w:p>
            <w:pPr>
              <w:suppressAutoHyphens/>
              <w:snapToGrid w:val="0"/>
              <w:spacing w:after="0" w:line="240" w:lineRule="auto"/>
              <w:ind w:left="15" w:right="45"/>
              <w:rPr>
                <w:rFonts w:ascii="Arial" w:hAnsi="Arial" w:eastAsia="Times New Roman" w:cs="Arial"/>
                <w:lang w:eastAsia="hi-IN" w:bidi="hi-IN"/>
              </w:rPr>
            </w:pPr>
          </w:p>
        </w:tc>
        <w:tc>
          <w:tcPr>
            <w:tcW w:w="1976"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4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540"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shd w:val="clear" w:color="auto" w:fill="auto"/>
          </w:tcPr>
          <w:p>
            <w:pPr>
              <w:suppressAutoHyphens/>
              <w:snapToGrid w:val="0"/>
              <w:spacing w:after="0" w:line="240" w:lineRule="auto"/>
              <w:ind w:left="15" w:right="45"/>
              <w:rPr>
                <w:rFonts w:ascii="Arial" w:hAnsi="Arial" w:eastAsia="Times New Roman" w:cs="Arial"/>
                <w:lang w:eastAsia="hi-IN" w:bidi="hi-IN"/>
              </w:rPr>
            </w:pPr>
          </w:p>
        </w:tc>
        <w:tc>
          <w:tcPr>
            <w:tcW w:w="1294" w:type="dxa"/>
          </w:tcPr>
          <w:p>
            <w:pPr>
              <w:suppressAutoHyphens/>
              <w:snapToGrid w:val="0"/>
              <w:spacing w:after="0" w:line="240" w:lineRule="auto"/>
              <w:ind w:left="15" w:right="45"/>
              <w:rPr>
                <w:rFonts w:ascii="Arial" w:hAnsi="Arial" w:eastAsia="Times New Roman" w:cs="Arial"/>
                <w:lang w:eastAsia="hi-IN" w:bidi="hi-IN"/>
              </w:rPr>
            </w:pPr>
          </w:p>
        </w:tc>
      </w:tr>
    </w:tbl>
    <w:p>
      <w:pPr>
        <w:tabs>
          <w:tab w:val="center" w:pos="4536"/>
        </w:tabs>
        <w:suppressAutoHyphens/>
        <w:spacing w:after="0" w:line="240" w:lineRule="auto"/>
        <w:jc w:val="both"/>
        <w:rPr>
          <w:rFonts w:ascii="Arial" w:hAnsi="Arial" w:eastAsia="Times New Roman" w:cs="Arial"/>
          <w:b/>
          <w:bCs/>
          <w:sz w:val="18"/>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r>
        <w:rPr>
          <w:rFonts w:ascii="Arial" w:hAnsi="Arial" w:eastAsia="Times New Roman" w:cs="Arial"/>
          <w:b/>
          <w:bCs/>
          <w:sz w:val="20"/>
          <w:lang w:val="es-ES" w:bidi="hi-IN"/>
        </w:rPr>
        <w:t>Atentamente,</w:t>
      </w: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
          <w:bCs/>
          <w:sz w:val="20"/>
          <w:lang w:val="es-ES" w:bidi="hi-IN"/>
        </w:rPr>
      </w:pPr>
    </w:p>
    <w:p>
      <w:pPr>
        <w:tabs>
          <w:tab w:val="center" w:pos="4536"/>
        </w:tabs>
        <w:suppressAutoHyphens/>
        <w:spacing w:after="0" w:line="240" w:lineRule="auto"/>
        <w:jc w:val="both"/>
        <w:rPr>
          <w:rFonts w:ascii="Arial" w:hAnsi="Arial" w:eastAsia="Times New Roman" w:cs="Arial"/>
          <w:bCs/>
          <w:sz w:val="20"/>
          <w:lang w:val="es-ES" w:bidi="hi-IN"/>
        </w:rPr>
      </w:pPr>
      <w:r>
        <w:rPr>
          <w:rFonts w:ascii="Arial" w:hAnsi="Arial" w:eastAsia="Times New Roman" w:cs="Arial"/>
          <w:bCs/>
          <w:sz w:val="20"/>
          <w:lang w:val="es-ES" w:bidi="hi-IN"/>
        </w:rPr>
        <w:t>______________________                                              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1</w:t>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ab/>
      </w:r>
      <w:r>
        <w:rPr>
          <w:rFonts w:ascii="Arial" w:hAnsi="Arial" w:eastAsia="Times New Roman" w:cs="Arial"/>
          <w:b/>
          <w:bCs/>
          <w:sz w:val="20"/>
          <w:lang w:val="es-ES" w:bidi="hi-IN"/>
        </w:rPr>
        <w:t>Promitente Consorciado 2</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ab/>
      </w: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________________________</w:t>
      </w:r>
    </w:p>
    <w:p>
      <w:pPr>
        <w:tabs>
          <w:tab w:val="center" w:pos="4536"/>
        </w:tabs>
        <w:suppressAutoHyphens/>
        <w:spacing w:after="0" w:line="240" w:lineRule="auto"/>
        <w:jc w:val="both"/>
        <w:rPr>
          <w:rFonts w:ascii="Arial" w:hAnsi="Arial" w:eastAsia="Times New Roman" w:cs="Arial"/>
          <w:sz w:val="20"/>
          <w:lang w:val="es-ES" w:eastAsia="hi-IN" w:bidi="hi-IN"/>
        </w:rPr>
      </w:pPr>
      <w:r>
        <w:rPr>
          <w:rFonts w:ascii="Arial" w:hAnsi="Arial" w:eastAsia="Times New Roman" w:cs="Arial"/>
          <w:b/>
          <w:bCs/>
          <w:sz w:val="20"/>
          <w:lang w:val="es-ES" w:bidi="hi-IN"/>
        </w:rPr>
        <w:t>Promitente Consorciado (n)</w:t>
      </w:r>
    </w:p>
    <w:p>
      <w:pPr>
        <w:suppressAutoHyphens/>
        <w:spacing w:after="0" w:line="240" w:lineRule="auto"/>
        <w:rPr>
          <w:rFonts w:ascii="Arial" w:hAnsi="Arial" w:eastAsia="Times New Roman" w:cs="Arial"/>
          <w:sz w:val="20"/>
          <w:lang w:val="es-ES" w:eastAsia="hi-IN" w:bidi="hi-IN"/>
        </w:rPr>
      </w:pPr>
      <w:r>
        <w:rPr>
          <w:rFonts w:ascii="Arial" w:hAnsi="Arial" w:eastAsia="Times New Roman" w:cs="Arial"/>
          <w:sz w:val="20"/>
          <w:lang w:val="es-ES" w:eastAsia="hi-IN" w:bidi="hi-IN"/>
        </w:rPr>
        <w:t>RUC No.</w:t>
      </w:r>
    </w:p>
    <w:p>
      <w:pPr>
        <w:suppressAutoHyphens/>
        <w:spacing w:after="0" w:line="240" w:lineRule="auto"/>
        <w:rPr>
          <w:rFonts w:ascii="Arial" w:hAnsi="Arial" w:eastAsia="Times New Roman" w:cs="Arial"/>
          <w:sz w:val="18"/>
          <w:lang w:val="es-ES" w:eastAsia="hi-IN" w:bidi="hi-IN"/>
        </w:rPr>
      </w:pPr>
    </w:p>
    <w:p>
      <w:pPr>
        <w:suppressAutoHyphens/>
        <w:spacing w:after="0" w:line="240" w:lineRule="auto"/>
        <w:rPr>
          <w:rFonts w:ascii="Times New Roman" w:hAnsi="Times New Roman" w:eastAsia="Times New Roman" w:cs="Times New Roman"/>
          <w:sz w:val="20"/>
          <w:szCs w:val="20"/>
          <w:lang w:val="es-ES" w:eastAsia="hi-IN" w:bidi="hi-IN"/>
        </w:rPr>
      </w:pPr>
    </w:p>
    <w:p>
      <w:pPr>
        <w:shd w:val="clear" w:color="auto" w:fill="FFFFFF"/>
        <w:tabs>
          <w:tab w:val="left" w:pos="-540"/>
          <w:tab w:val="left" w:pos="3036"/>
          <w:tab w:val="left" w:pos="3274"/>
          <w:tab w:val="left" w:pos="3631"/>
          <w:tab w:val="left" w:pos="3869"/>
        </w:tabs>
        <w:suppressAutoHyphens/>
        <w:spacing w:after="0" w:line="240" w:lineRule="auto"/>
        <w:ind w:left="15" w:right="45"/>
        <w:rPr>
          <w:rFonts w:ascii="Arial" w:hAnsi="Arial" w:eastAsia="Times New Roman" w:cs="Arial"/>
          <w:spacing w:val="-3"/>
          <w:sz w:val="18"/>
          <w:lang w:eastAsia="hi-IN" w:bidi="hi-IN"/>
        </w:rPr>
      </w:pPr>
    </w:p>
    <w:p>
      <w:pPr>
        <w:tabs>
          <w:tab w:val="right" w:pos="851"/>
        </w:tabs>
        <w:suppressAutoHyphens/>
        <w:spacing w:after="0" w:line="240" w:lineRule="auto"/>
        <w:rPr>
          <w:rFonts w:ascii="Times New Roman" w:hAnsi="Times New Roman" w:eastAsia="Times New Roman" w:cs="Times New Roman"/>
          <w:sz w:val="20"/>
          <w:szCs w:val="20"/>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spacing w:after="0" w:line="240" w:lineRule="auto"/>
        <w:rPr>
          <w:rFonts w:ascii="Times New Roman" w:hAnsi="Times New Roman" w:eastAsia="Times New Roman" w:cs="Times New Roman"/>
          <w:sz w:val="18"/>
          <w:lang w:eastAsia="hi-IN" w:bidi="hi-IN"/>
        </w:rPr>
      </w:pPr>
      <w:r>
        <w:rPr>
          <w:rFonts w:ascii="Times New Roman" w:hAnsi="Times New Roman" w:eastAsia="Times New Roman" w:cs="Times New Roman"/>
          <w:sz w:val="18"/>
          <w:lang w:eastAsia="hi-IN" w:bidi="hi-IN"/>
        </w:rPr>
        <w:br w:type="page"/>
      </w:r>
    </w:p>
    <w:p>
      <w:pPr>
        <w:tabs>
          <w:tab w:val="left" w:pos="-1440"/>
          <w:tab w:val="left" w:pos="-720"/>
          <w:tab w:val="left" w:pos="0"/>
          <w:tab w:val="left" w:pos="720"/>
          <w:tab w:val="right" w:pos="9360"/>
        </w:tabs>
        <w:suppressAutoHyphens/>
        <w:spacing w:after="0" w:line="240" w:lineRule="auto"/>
        <w:jc w:val="both"/>
        <w:rPr>
          <w:rFonts w:ascii="Times New Roman" w:hAnsi="Times New Roman" w:eastAsia="Times New Roman" w:cs="Times New Roman"/>
          <w:sz w:val="18"/>
          <w:lang w:eastAsia="hi-IN"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 w:val="20"/>
          <w:szCs w:val="20"/>
          <w:lang w:val="es-ES" w:bidi="hi-IN"/>
        </w:rPr>
      </w:pP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b/>
          <w:bCs/>
          <w:szCs w:val="20"/>
          <w:lang w:val="es-ES" w:bidi="hi-IN"/>
        </w:rPr>
      </w:pPr>
      <w:r>
        <w:rPr>
          <w:rFonts w:ascii="Arial" w:hAnsi="Arial" w:eastAsia="Times New Roman" w:cs="Arial"/>
          <w:b/>
          <w:bCs/>
          <w:szCs w:val="20"/>
          <w:lang w:val="es-ES" w:bidi="hi-IN"/>
        </w:rPr>
        <w:t>SECCIÓN IV.  FORMULARIO DE COMPROMISO DE SUBCONTRATACIÓN</w:t>
      </w:r>
    </w:p>
    <w:p>
      <w:pPr>
        <w:pBdr>
          <w:top w:val="single" w:color="auto" w:sz="4" w:space="1"/>
          <w:left w:val="single" w:color="auto" w:sz="4" w:space="4"/>
          <w:bottom w:val="single" w:color="auto" w:sz="4" w:space="1"/>
          <w:right w:val="single" w:color="auto" w:sz="4" w:space="4"/>
        </w:pBdr>
        <w:shd w:val="clear" w:color="auto" w:fill="F2F2F2"/>
        <w:suppressAutoHyphens/>
        <w:spacing w:after="0" w:line="240" w:lineRule="auto"/>
        <w:jc w:val="center"/>
        <w:rPr>
          <w:rFonts w:ascii="Arial" w:hAnsi="Arial" w:eastAsia="Times New Roman" w:cs="Arial"/>
          <w:szCs w:val="20"/>
          <w:lang w:val="es-ES" w:bidi="hi-IN"/>
        </w:rPr>
      </w:pPr>
    </w:p>
    <w:p>
      <w:pPr>
        <w:suppressAutoHyphens/>
        <w:spacing w:after="0" w:line="240" w:lineRule="auto"/>
        <w:jc w:val="center"/>
        <w:rPr>
          <w:rFonts w:ascii="Arial" w:hAnsi="Arial" w:eastAsia="Times New Roman" w:cs="Arial"/>
          <w:b/>
          <w:bCs/>
          <w:szCs w:val="20"/>
          <w:u w:val="single"/>
          <w:lang w:val="es-ES" w:bidi="hi-IN"/>
        </w:rPr>
      </w:pPr>
    </w:p>
    <w:p>
      <w:pPr>
        <w:tabs>
          <w:tab w:val="left" w:pos="-720"/>
        </w:tabs>
        <w:suppressAutoHyphens/>
        <w:spacing w:after="0" w:line="240" w:lineRule="auto"/>
        <w:jc w:val="both"/>
        <w:rPr>
          <w:rFonts w:ascii="Arial" w:hAnsi="Arial" w:eastAsia="Times New Roman" w:cs="Arial"/>
          <w:b/>
          <w:sz w:val="20"/>
          <w:lang w:bidi="hi-IN"/>
        </w:rPr>
      </w:pPr>
      <w:r>
        <w:rPr>
          <w:rFonts w:ascii="Arial" w:hAnsi="Arial" w:eastAsia="Times New Roman" w:cs="Arial"/>
          <w:b/>
          <w:sz w:val="20"/>
          <w:lang w:bidi="hi-IN"/>
        </w:rPr>
        <w:t>IDENTIFICACIÓN DE SUBCONTRATISTAS Y PORCENTAJE DE SUBCONTRATACIÓN</w:t>
      </w:r>
    </w:p>
    <w:p>
      <w:pPr>
        <w:widowControl w:val="0"/>
        <w:suppressAutoHyphens/>
        <w:overflowPunct w:val="0"/>
        <w:spacing w:after="0" w:line="240" w:lineRule="auto"/>
        <w:ind w:right="-119"/>
        <w:jc w:val="both"/>
        <w:textAlignment w:val="baseline"/>
        <w:rPr>
          <w:rFonts w:ascii="Arial" w:hAnsi="Arial" w:eastAsia="Times New Roman" w:cs="Arial"/>
          <w:spacing w:val="-2"/>
          <w:sz w:val="20"/>
          <w:lang w:eastAsia="hi-IN" w:bidi="hi-IN"/>
        </w:rPr>
      </w:pPr>
    </w:p>
    <w:p>
      <w:pPr>
        <w:autoSpaceDE w:val="0"/>
        <w:autoSpaceDN w:val="0"/>
        <w:adjustRightInd w:val="0"/>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Yo, ........................................., en mi calidad de persona natural / REPRESENTANTE LEGAL de ……………………, de profesión .............................., con número de RUC …………., me comprometo a prestar los servicios de mi representada, como subcontratista del oferente …………………, en el procedimiento de ejecución de obra </w:t>
      </w:r>
      <w:r>
        <w:rPr>
          <w:rFonts w:ascii="Arial" w:hAnsi="Arial" w:eastAsia="Times New Roman" w:cs="Arial"/>
          <w:b/>
          <w:spacing w:val="-3"/>
          <w:sz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spacing w:val="-3"/>
          <w:sz w:val="20"/>
          <w:lang w:eastAsia="hi-IN" w:bidi="hi-IN"/>
        </w:rPr>
        <w:t xml:space="preserve"> durante el período que dure la ejecución de la obra, con ……………………. </w:t>
      </w:r>
      <w:r>
        <w:rPr>
          <w:rFonts w:ascii="Arial" w:hAnsi="Arial" w:eastAsia="Times New Roman" w:cs="Arial"/>
          <w:spacing w:val="-3"/>
          <w:sz w:val="20"/>
          <w:highlight w:val="lightGray"/>
          <w:lang w:eastAsia="hi-IN" w:bidi="hi-IN"/>
        </w:rPr>
        <w:t>(</w:t>
      </w:r>
      <w:r>
        <w:rPr>
          <w:rFonts w:ascii="Arial" w:hAnsi="Arial" w:eastAsia="Times New Roman" w:cs="Arial"/>
          <w:i/>
          <w:iCs/>
          <w:spacing w:val="-3"/>
          <w:sz w:val="20"/>
          <w:highlight w:val="lightGray"/>
          <w:lang w:eastAsia="hi-IN" w:bidi="hi-IN"/>
        </w:rPr>
        <w:t>nombre del oferente</w:t>
      </w:r>
      <w:r>
        <w:rPr>
          <w:rFonts w:ascii="Arial" w:hAnsi="Arial" w:eastAsia="Times New Roman" w:cs="Arial"/>
          <w:i/>
          <w:iCs/>
          <w:spacing w:val="-3"/>
          <w:sz w:val="20"/>
          <w:lang w:eastAsia="hi-IN" w:bidi="hi-IN"/>
        </w:rPr>
        <w:t>)</w:t>
      </w:r>
      <w:r>
        <w:rPr>
          <w:rFonts w:ascii="Arial" w:hAnsi="Arial" w:eastAsia="Times New Roman" w:cs="Arial"/>
          <w:spacing w:val="-3"/>
          <w:sz w:val="20"/>
          <w:lang w:eastAsia="hi-IN" w:bidi="hi-IN"/>
        </w:rPr>
        <w:t xml:space="preserve"> en el caso de que suscriba el contrato de ejecución de las obras.</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Declaro bajo juramento que no tengo relación de asocio, dependencia, parentesco de ningún tipo con los accionistas, representantes y/o propietarios de la oferente a la cual me comprometo a prestar mis servicios en calidad de subcontratista. Asimismo, declaro que la información que a continuación se agrega es cierta y que ni mi persona o los socios, aportantes y/o integrantes de la MYPE y/o EPS que represento no tiene relación de naturaleza alguna con los accionistas, representantes y/o propietarios de la oferente y que me encuentro domiciliado en la localidad (es) donde se ejecutará el proyecto.</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z w:val="20"/>
          <w:lang w:eastAsia="hi-IN" w:bidi="hi-IN"/>
        </w:rPr>
        <w:t>Para tal efecto, dejo señalado que los rubros que se subcontratará son los determinados a continuación, de conformidad con el presupuesto detallado en la Tabla de Cantidades y Precios.</w:t>
      </w:r>
    </w:p>
    <w:p>
      <w:pPr>
        <w:tabs>
          <w:tab w:val="left" w:pos="-720"/>
        </w:tabs>
        <w:suppressAutoHyphens/>
        <w:spacing w:after="0" w:line="240" w:lineRule="auto"/>
        <w:jc w:val="both"/>
        <w:rPr>
          <w:rFonts w:ascii="Arial" w:hAnsi="Arial" w:eastAsia="Times New Roman" w:cs="Arial"/>
          <w:spacing w:val="-3"/>
          <w:sz w:val="20"/>
          <w:lang w:eastAsia="hi-IN" w:bidi="hi-IN"/>
        </w:rPr>
      </w:pPr>
    </w:p>
    <w:tbl>
      <w:tblPr>
        <w:tblStyle w:val="4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061"/>
        <w:gridCol w:w="2358"/>
        <w:gridCol w:w="1459"/>
        <w:gridCol w:w="115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No.</w:t>
            </w:r>
          </w:p>
        </w:tc>
        <w:tc>
          <w:tcPr>
            <w:tcW w:w="2061"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Denominación del rubro</w:t>
            </w:r>
          </w:p>
        </w:tc>
        <w:tc>
          <w:tcPr>
            <w:tcW w:w="2358"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Cantidad</w:t>
            </w:r>
          </w:p>
        </w:tc>
        <w:tc>
          <w:tcPr>
            <w:tcW w:w="1459" w:type="dxa"/>
            <w:shd w:val="clear" w:color="auto" w:fill="D9D9D9"/>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Precio Unitario</w:t>
            </w:r>
          </w:p>
        </w:tc>
        <w:tc>
          <w:tcPr>
            <w:tcW w:w="1155"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Valor ($)</w:t>
            </w:r>
          </w:p>
        </w:tc>
        <w:tc>
          <w:tcPr>
            <w:tcW w:w="1773" w:type="dxa"/>
            <w:shd w:val="clear" w:color="auto" w:fill="D9D9D9"/>
            <w:vAlign w:val="center"/>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 respecto el monto contractual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tcPr>
          <w:p>
            <w:pPr>
              <w:suppressAutoHyphens/>
              <w:spacing w:after="0" w:line="240" w:lineRule="auto"/>
              <w:jc w:val="center"/>
              <w:rPr>
                <w:rFonts w:ascii="Arial" w:hAnsi="Arial" w:eastAsia="Times New Roman" w:cs="Arial"/>
                <w:sz w:val="20"/>
                <w:lang w:eastAsia="hi-IN" w:bidi="hi-IN"/>
              </w:rPr>
            </w:pPr>
          </w:p>
        </w:tc>
        <w:tc>
          <w:tcPr>
            <w:tcW w:w="2061" w:type="dxa"/>
            <w:vAlign w:val="center"/>
          </w:tcPr>
          <w:p>
            <w:pPr>
              <w:suppressAutoHyphens/>
              <w:spacing w:after="0" w:line="240" w:lineRule="auto"/>
              <w:jc w:val="center"/>
              <w:rPr>
                <w:rFonts w:ascii="Arial" w:hAnsi="Arial" w:eastAsia="Times New Roman" w:cs="Arial"/>
                <w:sz w:val="20"/>
                <w:lang w:eastAsia="hi-IN" w:bidi="hi-IN"/>
              </w:rPr>
            </w:pPr>
          </w:p>
        </w:tc>
        <w:tc>
          <w:tcPr>
            <w:tcW w:w="2358" w:type="dxa"/>
            <w:shd w:val="clear" w:color="auto" w:fill="auto"/>
            <w:vAlign w:val="center"/>
          </w:tcPr>
          <w:p>
            <w:pPr>
              <w:suppressAutoHyphens/>
              <w:spacing w:after="0" w:line="240" w:lineRule="auto"/>
              <w:rPr>
                <w:rFonts w:ascii="Arial" w:hAnsi="Arial" w:eastAsia="Times New Roman" w:cs="Arial"/>
                <w:sz w:val="20"/>
                <w:lang w:eastAsia="hi-IN" w:bidi="hi-IN"/>
              </w:rPr>
            </w:pPr>
          </w:p>
        </w:tc>
        <w:tc>
          <w:tcPr>
            <w:tcW w:w="1459" w:type="dxa"/>
          </w:tcPr>
          <w:p>
            <w:pPr>
              <w:suppressAutoHyphens/>
              <w:spacing w:after="0" w:line="240" w:lineRule="auto"/>
              <w:jc w:val="right"/>
              <w:rPr>
                <w:rFonts w:ascii="Arial" w:hAnsi="Arial" w:eastAsia="Times New Roman" w:cs="Arial"/>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8" w:type="dxa"/>
            <w:gridSpan w:val="3"/>
          </w:tcPr>
          <w:p>
            <w:pPr>
              <w:suppressAutoHyphens/>
              <w:spacing w:after="0" w:line="240" w:lineRule="auto"/>
              <w:jc w:val="center"/>
              <w:rPr>
                <w:rFonts w:ascii="Arial" w:hAnsi="Arial" w:eastAsia="Times New Roman" w:cs="Arial"/>
                <w:b/>
                <w:sz w:val="20"/>
                <w:lang w:eastAsia="hi-IN" w:bidi="hi-IN"/>
              </w:rPr>
            </w:pPr>
            <w:r>
              <w:rPr>
                <w:rFonts w:ascii="Arial" w:hAnsi="Arial" w:eastAsia="Times New Roman" w:cs="Arial"/>
                <w:b/>
                <w:sz w:val="20"/>
                <w:lang w:eastAsia="hi-IN" w:bidi="hi-IN"/>
              </w:rPr>
              <w:t>SUMA TOTAL</w:t>
            </w:r>
          </w:p>
        </w:tc>
        <w:tc>
          <w:tcPr>
            <w:tcW w:w="1459" w:type="dxa"/>
          </w:tcPr>
          <w:p>
            <w:pPr>
              <w:suppressAutoHyphens/>
              <w:spacing w:after="0" w:line="240" w:lineRule="auto"/>
              <w:jc w:val="right"/>
              <w:rPr>
                <w:rFonts w:ascii="Arial" w:hAnsi="Arial" w:eastAsia="Times New Roman" w:cs="Arial"/>
                <w:b/>
                <w:sz w:val="20"/>
                <w:lang w:eastAsia="hi-IN" w:bidi="hi-IN"/>
              </w:rPr>
            </w:pPr>
          </w:p>
        </w:tc>
        <w:tc>
          <w:tcPr>
            <w:tcW w:w="1155" w:type="dxa"/>
            <w:shd w:val="clear" w:color="auto" w:fill="auto"/>
            <w:vAlign w:val="center"/>
          </w:tcPr>
          <w:p>
            <w:pPr>
              <w:suppressAutoHyphens/>
              <w:spacing w:after="0" w:line="240" w:lineRule="auto"/>
              <w:jc w:val="right"/>
              <w:rPr>
                <w:rFonts w:ascii="Arial" w:hAnsi="Arial" w:eastAsia="Times New Roman" w:cs="Arial"/>
                <w:b/>
                <w:sz w:val="20"/>
                <w:lang w:eastAsia="hi-IN" w:bidi="hi-IN"/>
              </w:rPr>
            </w:pPr>
          </w:p>
        </w:tc>
        <w:tc>
          <w:tcPr>
            <w:tcW w:w="1773" w:type="dxa"/>
            <w:shd w:val="clear" w:color="auto" w:fill="auto"/>
            <w:vAlign w:val="center"/>
          </w:tcPr>
          <w:p>
            <w:pPr>
              <w:suppressAutoHyphens/>
              <w:spacing w:after="0" w:line="240" w:lineRule="auto"/>
              <w:jc w:val="center"/>
              <w:rPr>
                <w:rFonts w:ascii="Arial" w:hAnsi="Arial" w:eastAsia="Times New Roman" w:cs="Arial"/>
                <w:b/>
                <w:sz w:val="20"/>
                <w:lang w:eastAsia="hi-IN" w:bidi="hi-IN"/>
              </w:rPr>
            </w:pPr>
          </w:p>
        </w:tc>
      </w:tr>
    </w:tbl>
    <w:p>
      <w:pPr>
        <w:suppressAutoHyphens/>
        <w:spacing w:after="0" w:line="240" w:lineRule="auto"/>
        <w:rPr>
          <w:rFonts w:ascii="Arial" w:hAnsi="Arial" w:eastAsia="Times New Roman" w:cs="Arial"/>
          <w:sz w:val="20"/>
          <w:lang w:eastAsia="hi-IN" w:bidi="hi-IN"/>
        </w:rPr>
      </w:pP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r>
        <w:rPr>
          <w:rFonts w:ascii="Arial" w:hAnsi="Arial" w:eastAsia="Times New Roman" w:cs="Arial"/>
          <w:sz w:val="20"/>
          <w:lang w:eastAsia="hi-IN" w:bidi="hi-IN"/>
        </w:rPr>
        <w:tab/>
      </w:r>
    </w:p>
    <w:p>
      <w:pPr>
        <w:suppressAutoHyphens/>
        <w:spacing w:after="0" w:line="240" w:lineRule="auto"/>
        <w:rPr>
          <w:rFonts w:ascii="Arial" w:hAnsi="Arial" w:eastAsia="Times New Roman" w:cs="Arial"/>
          <w:sz w:val="20"/>
          <w:lang w:eastAsia="hi-IN" w:bidi="hi-IN"/>
        </w:rPr>
      </w:pPr>
    </w:p>
    <w:p>
      <w:pPr>
        <w:suppressAutoHyphens/>
        <w:spacing w:after="0" w:line="240" w:lineRule="auto"/>
        <w:rPr>
          <w:rFonts w:ascii="Arial" w:hAnsi="Arial" w:eastAsia="Times New Roman" w:cs="Arial"/>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w:t>
      </w: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(LUGAR Y FECHA)</w:t>
      </w:r>
    </w:p>
    <w:p>
      <w:pPr>
        <w:tabs>
          <w:tab w:val="left" w:pos="-720"/>
        </w:tabs>
        <w:suppressAutoHyphens/>
        <w:spacing w:after="0" w:line="240" w:lineRule="auto"/>
        <w:jc w:val="both"/>
        <w:rPr>
          <w:rFonts w:ascii="Arial" w:hAnsi="Arial" w:eastAsia="Times New Roman" w:cs="Arial"/>
          <w:spacing w:val="-3"/>
          <w:sz w:val="20"/>
          <w:lang w:eastAsia="hi-IN" w:bidi="hi-IN"/>
        </w:rPr>
      </w:pPr>
    </w:p>
    <w:p>
      <w:pPr>
        <w:tabs>
          <w:tab w:val="left" w:pos="-720"/>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w:t>
      </w: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r>
        <w:rPr>
          <w:rFonts w:ascii="Arial" w:hAnsi="Arial" w:eastAsia="Times New Roman" w:cs="Arial"/>
          <w:spacing w:val="-3"/>
          <w:sz w:val="20"/>
          <w:lang w:eastAsia="hi-IN" w:bidi="hi-IN"/>
        </w:rPr>
        <w:t>(FIRMA DEL SUBCONTRATISTA MYPE o EPS)</w:t>
      </w:r>
    </w:p>
    <w:p>
      <w:pPr>
        <w:tabs>
          <w:tab w:val="center" w:pos="4334"/>
        </w:tabs>
        <w:suppressAutoHyphens/>
        <w:spacing w:after="0" w:line="240" w:lineRule="auto"/>
        <w:jc w:val="both"/>
        <w:rPr>
          <w:rFonts w:ascii="Arial" w:hAnsi="Arial" w:eastAsia="Times New Roman" w:cs="Arial"/>
          <w:spacing w:val="-3"/>
          <w:sz w:val="20"/>
          <w:lang w:eastAsia="hi-IN" w:bidi="hi-IN"/>
        </w:rPr>
      </w:pPr>
    </w:p>
    <w:p>
      <w:pPr>
        <w:tabs>
          <w:tab w:val="center" w:pos="4334"/>
        </w:tabs>
        <w:suppressAutoHyphens/>
        <w:spacing w:after="0" w:line="240" w:lineRule="auto"/>
        <w:jc w:val="both"/>
        <w:rPr>
          <w:rFonts w:ascii="Arial" w:hAnsi="Arial" w:eastAsia="Times New Roman" w:cs="Arial"/>
          <w:spacing w:val="-3"/>
          <w:sz w:val="20"/>
          <w:lang w:eastAsia="hi-IN" w:bidi="hi-IN"/>
        </w:rPr>
      </w:pPr>
      <w:r>
        <w:rPr>
          <w:rFonts w:ascii="Arial" w:hAnsi="Arial" w:eastAsia="Times New Roman" w:cs="Arial"/>
          <w:spacing w:val="-3"/>
          <w:sz w:val="20"/>
          <w:lang w:eastAsia="hi-IN" w:bidi="hi-IN"/>
        </w:rPr>
        <w:tab/>
      </w:r>
    </w:p>
    <w:p>
      <w:pPr>
        <w:tabs>
          <w:tab w:val="center" w:pos="4334"/>
        </w:tabs>
        <w:suppressAutoHyphens/>
        <w:spacing w:after="0" w:line="240" w:lineRule="auto"/>
        <w:jc w:val="both"/>
        <w:rPr>
          <w:rFonts w:ascii="Arial" w:hAnsi="Arial" w:eastAsia="Times New Roman" w:cs="Arial"/>
          <w:spacing w:val="-3"/>
          <w:sz w:val="20"/>
          <w:lang w:eastAsia="hi-IN" w:bidi="hi-IN"/>
        </w:rPr>
      </w:pPr>
    </w:p>
    <w:tbl>
      <w:tblPr>
        <w:tblStyle w:val="46"/>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Cantón: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Parroquia:</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Dirección:</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 xml:space="preserve">Teléfono(s):     </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D9D9D9"/>
            <w:vAlign w:val="center"/>
          </w:tcPr>
          <w:p>
            <w:pPr>
              <w:tabs>
                <w:tab w:val="left" w:pos="-720"/>
              </w:tabs>
              <w:suppressAutoHyphens/>
              <w:spacing w:after="0" w:line="240" w:lineRule="auto"/>
              <w:rPr>
                <w:rFonts w:ascii="Arial" w:hAnsi="Arial" w:eastAsia="Times New Roman" w:cs="Arial"/>
                <w:spacing w:val="-3"/>
                <w:sz w:val="20"/>
                <w:lang w:eastAsia="hi-IN" w:bidi="hi-IN"/>
              </w:rPr>
            </w:pPr>
            <w:r>
              <w:rPr>
                <w:rFonts w:ascii="Arial" w:hAnsi="Arial" w:eastAsia="Times New Roman" w:cs="Arial"/>
                <w:spacing w:val="-3"/>
                <w:sz w:val="20"/>
                <w:lang w:eastAsia="hi-IN" w:bidi="hi-IN"/>
              </w:rPr>
              <w:t>Correo electrónico</w:t>
            </w:r>
          </w:p>
        </w:tc>
        <w:tc>
          <w:tcPr>
            <w:tcW w:w="3827" w:type="dxa"/>
            <w:shd w:val="clear" w:color="auto" w:fill="auto"/>
            <w:vAlign w:val="center"/>
          </w:tcPr>
          <w:p>
            <w:pPr>
              <w:tabs>
                <w:tab w:val="left" w:pos="-720"/>
              </w:tabs>
              <w:suppressAutoHyphens/>
              <w:spacing w:after="0" w:line="240" w:lineRule="auto"/>
              <w:rPr>
                <w:rFonts w:ascii="Arial" w:hAnsi="Arial" w:eastAsia="Times New Roman" w:cs="Arial"/>
                <w:spacing w:val="-3"/>
                <w:sz w:val="20"/>
                <w:lang w:eastAsia="hi-IN" w:bidi="hi-IN"/>
              </w:rPr>
            </w:pPr>
          </w:p>
        </w:tc>
      </w:tr>
    </w:tbl>
    <w:p>
      <w:pPr>
        <w:tabs>
          <w:tab w:val="left" w:pos="-720"/>
        </w:tabs>
        <w:suppressAutoHyphens/>
        <w:spacing w:after="0" w:line="240" w:lineRule="auto"/>
        <w:jc w:val="both"/>
        <w:rPr>
          <w:rFonts w:ascii="Arial" w:hAnsi="Arial" w:eastAsia="Times New Roman" w:cs="Arial"/>
          <w:b/>
          <w:bCs/>
          <w:sz w:val="20"/>
          <w:u w:val="single"/>
          <w:lang w:val="es-ES" w:bidi="hi-IN"/>
        </w:rPr>
      </w:pPr>
    </w:p>
    <w:p>
      <w:pPr>
        <w:spacing w:after="0" w:line="240" w:lineRule="auto"/>
        <w:jc w:val="center"/>
        <w:rPr>
          <w:rFonts w:ascii="Arial" w:hAnsi="Arial" w:eastAsia="Times New Roman" w:cs="Arial"/>
          <w:b/>
          <w:bCs/>
          <w:sz w:val="20"/>
          <w:szCs w:val="20"/>
          <w:lang w:bidi="hi-IN"/>
        </w:rPr>
      </w:pPr>
      <w:r>
        <w:rPr>
          <w:rFonts w:ascii="Arial" w:hAnsi="Arial" w:eastAsia="Times New Roman" w:cs="Arial"/>
          <w:b/>
          <w:bCs/>
          <w:szCs w:val="20"/>
          <w:highlight w:val="lightGray"/>
          <w:lang w:bidi="hi-IN"/>
        </w:rPr>
        <w:br w:type="page"/>
      </w:r>
      <w:r>
        <w:rPr>
          <w:rFonts w:ascii="Arial" w:hAnsi="Arial" w:eastAsia="Times New Roman" w:cs="Arial"/>
          <w:b/>
          <w:bCs/>
          <w:sz w:val="20"/>
          <w:szCs w:val="20"/>
          <w:highlight w:val="lightGray"/>
          <w:lang w:bidi="hi-IN"/>
        </w:rPr>
        <w:t>PROYECTO DE CONTRATO</w:t>
      </w: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tabs>
          <w:tab w:val="left" w:pos="0"/>
          <w:tab w:val="left" w:pos="1044"/>
        </w:tabs>
        <w:suppressAutoHyphens/>
        <w:spacing w:after="0" w:line="240" w:lineRule="auto"/>
        <w:ind w:left="15" w:right="45"/>
        <w:jc w:val="center"/>
        <w:outlineLvl w:val="3"/>
        <w:rPr>
          <w:rFonts w:ascii="Arial" w:hAnsi="Arial" w:eastAsia="Times New Roman" w:cs="Arial"/>
          <w:b/>
          <w:bCs/>
          <w:sz w:val="18"/>
          <w:szCs w:val="20"/>
          <w:lang w:bidi="hi-IN"/>
        </w:rPr>
      </w:pPr>
    </w:p>
    <w:p>
      <w:pPr>
        <w:widowControl w:val="0"/>
        <w:pBdr>
          <w:bottom w:val="single" w:color="auto" w:sz="12" w:space="1"/>
        </w:pBd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 xml:space="preserve">CONTRATO No.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«contrato»</w:t>
      </w:r>
      <w:r>
        <w:rPr>
          <w:rFonts w:ascii="Arial" w:hAnsi="Arial" w:eastAsia="Times New Roman" w:cs="Arial"/>
          <w:b/>
          <w:bCs/>
          <w:spacing w:val="-2"/>
          <w:kern w:val="32"/>
          <w:sz w:val="20"/>
          <w:szCs w:val="20"/>
          <w:lang w:val="es-ES" w:bidi="hi-IN"/>
        </w:rPr>
        <w:fldChar w:fldCharType="end"/>
      </w:r>
      <w:r>
        <w:rPr>
          <w:rFonts w:ascii="Arial" w:hAnsi="Arial" w:eastAsia="Times New Roman" w:cs="Arial"/>
          <w:b/>
          <w:bCs/>
          <w:spacing w:val="-2"/>
          <w:kern w:val="32"/>
          <w:sz w:val="20"/>
          <w:szCs w:val="20"/>
          <w:lang w:val="es-ES" w:bidi="hi-IN"/>
        </w:rPr>
        <w:t xml:space="preserve">, </w:t>
      </w:r>
      <w:r>
        <w:rPr>
          <w:rFonts w:ascii="Arial" w:hAnsi="Arial" w:eastAsia="Times New Roman" w:cs="Arial"/>
          <w:sz w:val="20"/>
          <w:szCs w:val="20"/>
          <w:lang w:val="es-ES" w:bidi="hi-IN"/>
        </w:rPr>
        <w:t xml:space="preserve">QUE CELEBRA EL GOBIERNO AUTÓNOMO DESCENTRALIZADO MUNICIPAL DEL CANTÓN CUENCA CON EL  ING. </w:t>
      </w:r>
      <w:r>
        <w:rPr>
          <w:rFonts w:ascii="Arial" w:hAnsi="Arial" w:eastAsia="Times New Roman" w:cs="Arial"/>
          <w:b/>
          <w:bCs/>
          <w:spacing w:val="-2"/>
          <w:kern w:val="32"/>
          <w:sz w:val="20"/>
          <w:szCs w:val="20"/>
          <w:lang w:val="es-ES" w:bidi="hi-IN"/>
        </w:rPr>
        <w:fldChar w:fldCharType="begin"/>
      </w:r>
      <w:r>
        <w:rPr>
          <w:rFonts w:ascii="Arial" w:hAnsi="Arial" w:eastAsia="Times New Roman" w:cs="Arial"/>
          <w:b/>
          <w:bCs/>
          <w:spacing w:val="-2"/>
          <w:kern w:val="32"/>
          <w:sz w:val="20"/>
          <w:szCs w:val="20"/>
          <w:lang w:val="es-ES" w:bidi="hi-IN"/>
        </w:rPr>
        <w:instrText xml:space="preserve"> MERGEFIELD CONTRATISTA_ADJUDICADO </w:instrText>
      </w:r>
      <w:r>
        <w:rPr>
          <w:rFonts w:ascii="Arial" w:hAnsi="Arial" w:eastAsia="Times New Roman" w:cs="Arial"/>
          <w:b/>
          <w:bCs/>
          <w:spacing w:val="-2"/>
          <w:kern w:val="32"/>
          <w:sz w:val="20"/>
          <w:szCs w:val="20"/>
          <w:lang w:val="es-ES" w:bidi="hi-IN"/>
        </w:rPr>
        <w:fldChar w:fldCharType="separate"/>
      </w:r>
      <w:r>
        <w:rPr>
          <w:rFonts w:ascii="Arial" w:hAnsi="Arial" w:eastAsia="Times New Roman" w:cs="Arial"/>
          <w:b/>
          <w:bCs/>
          <w:spacing w:val="-2"/>
          <w:kern w:val="32"/>
          <w:sz w:val="20"/>
          <w:szCs w:val="20"/>
          <w:lang w:val="es-ES" w:bidi="hi-IN"/>
        </w:rPr>
        <w:t>«CONTRATISTA_ADJUDICADO»</w:t>
      </w:r>
      <w:r>
        <w:rPr>
          <w:rFonts w:ascii="Arial" w:hAnsi="Arial" w:eastAsia="Times New Roman" w:cs="Arial"/>
          <w:b/>
          <w:bCs/>
          <w:spacing w:val="-2"/>
          <w:kern w:val="32"/>
          <w:sz w:val="20"/>
          <w:szCs w:val="20"/>
          <w:lang w:val="es-ES" w:bidi="hi-IN"/>
        </w:rPr>
        <w:fldChar w:fldCharType="end"/>
      </w:r>
      <w:r>
        <w:rPr>
          <w:rFonts w:ascii="Arial" w:hAnsi="Arial" w:eastAsia="Times New Roman" w:cs="Arial"/>
          <w:sz w:val="20"/>
          <w:szCs w:val="20"/>
          <w:lang w:val="es-ES" w:bidi="hi-IN"/>
        </w:rPr>
        <w:t xml:space="preserve">, PARA REALIZAR LA: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p>
    <w:p>
      <w:pPr>
        <w:widowControl w:val="0"/>
        <w:tabs>
          <w:tab w:val="left" w:pos="-720"/>
        </w:tabs>
        <w:suppressAutoHyphens/>
        <w:spacing w:after="0" w:line="240" w:lineRule="auto"/>
        <w:ind w:right="-119"/>
        <w:jc w:val="both"/>
        <w:rPr>
          <w:rFonts w:ascii="Arial" w:hAnsi="Arial" w:eastAsia="Times New Roman" w:cs="Arial"/>
          <w:b/>
          <w:bCs/>
          <w:spacing w:val="-2"/>
          <w:sz w:val="20"/>
          <w:szCs w:val="20"/>
          <w:lang w:val="es-ES" w:bidi="hi-IN"/>
        </w:rPr>
      </w:pPr>
      <w:r>
        <w:rPr>
          <w:rFonts w:ascii="Arial" w:hAnsi="Arial" w:eastAsia="Times New Roman" w:cs="Arial"/>
          <w:b/>
          <w:bCs/>
          <w:spacing w:val="-2"/>
          <w:sz w:val="20"/>
          <w:szCs w:val="20"/>
          <w:lang w:val="es-ES" w:bidi="hi-IN"/>
        </w:rPr>
        <w:t>COMPARECIENTES</w:t>
      </w:r>
    </w:p>
    <w:p>
      <w:pPr>
        <w:widowControl w:val="0"/>
        <w:tabs>
          <w:tab w:val="left" w:pos="-720"/>
        </w:tabs>
        <w:suppressAutoHyphens/>
        <w:spacing w:after="0" w:line="240" w:lineRule="auto"/>
        <w:ind w:right="-119"/>
        <w:jc w:val="both"/>
        <w:rPr>
          <w:rFonts w:ascii="Arial" w:hAnsi="Arial" w:eastAsia="Times New Roman" w:cs="Arial"/>
          <w:spacing w:val="-2"/>
          <w:sz w:val="20"/>
          <w:szCs w:val="20"/>
          <w:lang w:val="es-ES" w:bidi="hi-IN"/>
        </w:rPr>
      </w:pPr>
    </w:p>
    <w:p>
      <w:pPr>
        <w:widowControl w:val="0"/>
        <w:tabs>
          <w:tab w:val="left" w:pos="0"/>
          <w:tab w:val="left" w:pos="1044"/>
        </w:tabs>
        <w:suppressAutoHyphens/>
        <w:spacing w:after="0" w:line="240" w:lineRule="auto"/>
        <w:ind w:left="15" w:right="45"/>
        <w:jc w:val="both"/>
        <w:outlineLvl w:val="3"/>
        <w:rPr>
          <w:rFonts w:ascii="Arial" w:hAnsi="Arial" w:eastAsia="Times New Roman" w:cs="Arial"/>
          <w:spacing w:val="-2"/>
          <w:sz w:val="20"/>
          <w:szCs w:val="20"/>
          <w:lang w:val="es-ES" w:bidi="hi-IN"/>
        </w:rPr>
      </w:pPr>
      <w:r>
        <w:rPr>
          <w:rFonts w:ascii="Arial" w:hAnsi="Arial" w:eastAsia="Times New Roman" w:cs="Arial"/>
          <w:spacing w:val="-2"/>
          <w:sz w:val="20"/>
          <w:szCs w:val="20"/>
          <w:lang w:val="es-ES" w:bidi="hi-IN"/>
        </w:rPr>
        <w:t xml:space="preserve">En la ciudad de Cuenca a los _______ días del mes de _________ del dos mil diecisiete, </w:t>
      </w:r>
      <w:r>
        <w:rPr>
          <w:rFonts w:ascii="Arial" w:hAnsi="Arial" w:eastAsia="Times New Roman" w:cs="Arial"/>
          <w:spacing w:val="-2"/>
          <w:sz w:val="20"/>
          <w:szCs w:val="20"/>
          <w:lang w:eastAsia="hi-IN" w:bidi="hi-IN"/>
        </w:rPr>
        <w:t xml:space="preserve">comparecen a la celebración del presente contrato, por una parte el Gobierno Autónomo Descentralizado Municipal del cantón Cuenca, representado por el </w:t>
      </w:r>
      <w:r>
        <w:rPr>
          <w:rFonts w:ascii="Arial" w:hAnsi="Arial" w:eastAsia="Times New Roman" w:cs="Arial"/>
          <w:spacing w:val="-2"/>
          <w:sz w:val="20"/>
          <w:szCs w:val="20"/>
          <w:lang w:val="es-EC" w:eastAsia="hi-IN" w:bidi="hi-IN"/>
        </w:rPr>
        <w:t>.................................................</w:t>
      </w:r>
      <w:r>
        <w:rPr>
          <w:rFonts w:ascii="Arial" w:hAnsi="Arial" w:eastAsia="Times New Roman" w:cs="Arial"/>
          <w:b/>
          <w:spacing w:val="-2"/>
          <w:sz w:val="20"/>
          <w:szCs w:val="20"/>
          <w:lang w:eastAsia="hi-IN" w:bidi="hi-IN"/>
        </w:rPr>
        <w:t>,</w:t>
      </w:r>
      <w:r>
        <w:rPr>
          <w:rFonts w:ascii="Arial" w:hAnsi="Arial" w:eastAsia="Times New Roman" w:cs="Arial"/>
          <w:spacing w:val="-2"/>
          <w:sz w:val="20"/>
          <w:szCs w:val="20"/>
          <w:lang w:eastAsia="hi-IN" w:bidi="hi-IN"/>
        </w:rPr>
        <w:t xml:space="preserve"> Alcalde del Cantón Cuenca</w:t>
      </w:r>
      <w:r>
        <w:rPr>
          <w:rFonts w:ascii="Arial" w:hAnsi="Arial" w:eastAsia="Times New Roman" w:cs="Arial"/>
          <w:spacing w:val="-2"/>
          <w:sz w:val="16"/>
          <w:szCs w:val="20"/>
          <w:lang w:eastAsia="hi-IN" w:bidi="hi-IN"/>
        </w:rPr>
        <w:t xml:space="preserve">, </w:t>
      </w:r>
      <w:r>
        <w:rPr>
          <w:rFonts w:ascii="Arial" w:hAnsi="Arial" w:eastAsia="Times New Roman" w:cs="Arial"/>
          <w:spacing w:val="-2"/>
          <w:sz w:val="20"/>
          <w:szCs w:val="20"/>
          <w:lang w:eastAsia="hi-IN" w:bidi="hi-IN"/>
        </w:rPr>
        <w:t xml:space="preserve"> a quien en adelante se le denominará CONTRATANTE</w:t>
      </w:r>
      <w:r>
        <w:rPr>
          <w:rFonts w:ascii="Arial" w:hAnsi="Arial" w:eastAsia="Times New Roman" w:cs="Arial"/>
          <w:spacing w:val="-3"/>
          <w:sz w:val="20"/>
          <w:szCs w:val="20"/>
          <w:lang w:eastAsia="hi-IN" w:bidi="hi-IN"/>
        </w:rPr>
        <w:t>; y, por otra el Ing. ___________</w:t>
      </w:r>
      <w:r>
        <w:rPr>
          <w:rFonts w:ascii="Arial" w:hAnsi="Arial" w:eastAsia="Times New Roman" w:cs="Arial"/>
          <w:b/>
          <w:bCs/>
          <w:spacing w:val="-2"/>
          <w:kern w:val="32"/>
          <w:sz w:val="20"/>
          <w:szCs w:val="20"/>
          <w:lang w:val="es-ES" w:bidi="hi-IN"/>
        </w:rPr>
        <w:t>,</w:t>
      </w:r>
      <w:r>
        <w:rPr>
          <w:rFonts w:ascii="Arial" w:hAnsi="Arial" w:eastAsia="Times New Roman" w:cs="Arial"/>
          <w:spacing w:val="-3"/>
          <w:sz w:val="20"/>
          <w:szCs w:val="20"/>
          <w:lang w:eastAsia="hi-IN" w:bidi="hi-IN"/>
        </w:rPr>
        <w:t xml:space="preserve"> con RUC </w:t>
      </w:r>
      <w:r>
        <w:rPr>
          <w:rFonts w:ascii="Arial" w:hAnsi="Arial" w:eastAsia="Times New Roman" w:cs="Arial"/>
          <w:b/>
          <w:bCs/>
          <w:spacing w:val="-2"/>
          <w:kern w:val="32"/>
          <w:sz w:val="20"/>
          <w:szCs w:val="20"/>
          <w:lang w:val="es-ES" w:bidi="hi-IN"/>
        </w:rPr>
        <w:t>_______,</w:t>
      </w:r>
      <w:r>
        <w:rPr>
          <w:rFonts w:ascii="Arial" w:hAnsi="Arial" w:eastAsia="Times New Roman" w:cs="Arial"/>
          <w:spacing w:val="-3"/>
          <w:sz w:val="20"/>
          <w:szCs w:val="20"/>
          <w:lang w:eastAsia="hi-IN" w:bidi="hi-IN"/>
        </w:rPr>
        <w:t xml:space="preserve"> a quien en adelante se le denominará CONTRATISTA. Las partes se obligan en virtud del presente contrato, al tenor de las siguientes cláusulas: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Primera.- ANTECEDENTES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ind w:right="45"/>
        <w:jc w:val="both"/>
        <w:rPr>
          <w:rFonts w:ascii="Arial" w:hAnsi="Arial" w:cs="Arial"/>
          <w:spacing w:val="-2"/>
          <w:sz w:val="20"/>
        </w:rPr>
      </w:pPr>
      <w:r>
        <w:rPr>
          <w:rFonts w:ascii="Arial" w:hAnsi="Arial" w:cs="Arial"/>
          <w:b/>
          <w:sz w:val="20"/>
        </w:rPr>
        <w:t>1.1</w:t>
      </w:r>
      <w:r>
        <w:rPr>
          <w:rFonts w:ascii="Arial" w:hAnsi="Arial" w:cs="Arial"/>
          <w:sz w:val="20"/>
        </w:rPr>
        <w:t xml:space="preserve">Con fecha 26 de octubre de 2015, se firmó el Contrato de Préstamo entre la Corporación Andina de Fomento CAF y el </w:t>
      </w:r>
      <w:r>
        <w:rPr>
          <w:rFonts w:ascii="Arial" w:hAnsi="Arial" w:cs="Arial"/>
          <w:spacing w:val="-2"/>
          <w:sz w:val="20"/>
        </w:rPr>
        <w:t xml:space="preserve">Gobierno Autónomo Descentralizado Municipal del cantón Cuenca, con garantía de la República del Ecuador. </w:t>
      </w:r>
    </w:p>
    <w:p>
      <w:pPr>
        <w:tabs>
          <w:tab w:val="left" w:pos="-540"/>
        </w:tabs>
        <w:ind w:right="45"/>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1.2 </w:t>
      </w:r>
      <w:r>
        <w:rPr>
          <w:rFonts w:ascii="Arial" w:hAnsi="Arial" w:eastAsia="Times New Roman" w:cs="Arial"/>
          <w:sz w:val="20"/>
          <w:szCs w:val="20"/>
          <w:lang w:eastAsia="hi-IN" w:bidi="hi-IN"/>
        </w:rPr>
        <w:t xml:space="preserve">Mediante oficio número CAF – 2016 – 142, de fecha 17 de marzo de 2016, suscrito por la Ing. Constanza Calderón A., Director-Representante, Ecuador Enc., la </w:t>
      </w:r>
      <w:r>
        <w:rPr>
          <w:rFonts w:ascii="Arial" w:hAnsi="Arial" w:cs="Arial"/>
          <w:sz w:val="20"/>
        </w:rPr>
        <w:t>Corporación Andina de Fomento CAF</w:t>
      </w:r>
      <w:r>
        <w:rPr>
          <w:rFonts w:ascii="Arial" w:hAnsi="Arial" w:eastAsia="Times New Roman" w:cs="Arial"/>
          <w:sz w:val="20"/>
          <w:szCs w:val="20"/>
          <w:lang w:eastAsia="hi-IN" w:bidi="hi-IN"/>
        </w:rPr>
        <w:t xml:space="preserve">emite la no-objeción al </w:t>
      </w:r>
      <w:r>
        <w:rPr>
          <w:rFonts w:ascii="Arial" w:hAnsi="Arial" w:cs="Arial"/>
          <w:sz w:val="20"/>
          <w:szCs w:val="20"/>
        </w:rPr>
        <w:t xml:space="preserve">REGLAMENTO DE ADJUDICACIÓN DE OBRAS Y FISCALIZACIÓN FINANCIADOS CON RECURSOS CAF PARA EL PROGRAMA BARRIOS PARA MEJOR VIVIR FASE II. </w:t>
      </w:r>
    </w:p>
    <w:p>
      <w:pPr>
        <w:tabs>
          <w:tab w:val="left" w:pos="-540"/>
        </w:tabs>
        <w:suppressAutoHyphens/>
        <w:spacing w:after="0" w:line="240" w:lineRule="auto"/>
        <w:ind w:left="15" w:right="45"/>
        <w:jc w:val="both"/>
        <w:rPr>
          <w:rFonts w:ascii="Arial" w:hAnsi="Arial" w:eastAsia="Times New Roman" w:cs="Arial"/>
          <w:b/>
          <w:bCs/>
          <w:caps/>
          <w:sz w:val="20"/>
          <w:szCs w:val="20"/>
          <w:lang w:eastAsia="hi-IN" w:bidi="hi-IN"/>
        </w:rPr>
      </w:pPr>
      <w:r>
        <w:rPr>
          <w:rFonts w:ascii="Arial" w:hAnsi="Arial" w:eastAsia="Times New Roman" w:cs="Arial"/>
          <w:b/>
          <w:spacing w:val="-2"/>
          <w:sz w:val="20"/>
          <w:szCs w:val="20"/>
          <w:lang w:eastAsia="hi-IN" w:bidi="hi-IN"/>
        </w:rPr>
        <w:t xml:space="preserve">1.3 </w:t>
      </w:r>
      <w:r>
        <w:rPr>
          <w:rFonts w:ascii="Arial" w:hAnsi="Arial" w:eastAsia="Times New Roman" w:cs="Arial"/>
          <w:spacing w:val="-2"/>
          <w:sz w:val="20"/>
          <w:szCs w:val="20"/>
          <w:lang w:eastAsia="hi-IN" w:bidi="hi-IN"/>
        </w:rPr>
        <w:t>De conformidad con los artículos 3 de la Ley Orgánica del Sistema Nacional de Contratación Pública –LOSNCP-, 2 de su Reglamento General -RGLOSNCP-, el Contrato de Préstamo entre la CORPORACION ANDINA DE FOMENTO Y GOBIERNO AUTONOMO DESCENTRALIZADO MUNICIPAL DEL CANTON CUENCA,</w:t>
      </w:r>
      <w:r>
        <w:rPr>
          <w:rFonts w:ascii="Arial" w:hAnsi="Arial" w:eastAsia="Times New Roman" w:cs="Arial"/>
          <w:sz w:val="20"/>
          <w:szCs w:val="20"/>
          <w:lang w:eastAsia="hi-IN" w:bidi="hi-IN"/>
        </w:rPr>
        <w:t xml:space="preserve"> contempla la ejecución de: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p>
    <w:p>
      <w:pPr>
        <w:tabs>
          <w:tab w:val="left" w:pos="-540"/>
        </w:tabs>
        <w:suppressAutoHyphens/>
        <w:spacing w:after="0" w:line="240" w:lineRule="auto"/>
        <w:ind w:left="15" w:right="45"/>
        <w:jc w:val="both"/>
        <w:rPr>
          <w:rFonts w:ascii="Arial" w:hAnsi="Arial" w:eastAsia="Times New Roman" w:cs="Arial"/>
          <w:sz w:val="20"/>
          <w:szCs w:val="20"/>
          <w:lang w:val="es-ES"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1.4. </w:t>
      </w:r>
      <w:r>
        <w:rPr>
          <w:rFonts w:ascii="Arial" w:hAnsi="Arial" w:eastAsia="Times New Roman" w:cs="Arial"/>
          <w:sz w:val="20"/>
          <w:szCs w:val="20"/>
          <w:lang w:eastAsia="hi-IN" w:bidi="hi-IN"/>
        </w:rPr>
        <w:t xml:space="preserve">Previo los informes y los estudios respectivos, la Comisión Administrativa de Evaluación y Adjudicación de la CONTRATANTE resolvió aprobar la contratación que tiene por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w:t>
      </w:r>
      <w:r>
        <w:rPr>
          <w:rFonts w:ascii="Arial" w:hAnsi="Arial" w:eastAsia="Times New Roman" w:cs="Arial"/>
          <w:sz w:val="20"/>
          <w:szCs w:val="20"/>
          <w:lang w:eastAsia="hi-IN" w:bidi="hi-IN"/>
        </w:rPr>
        <w:tab/>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1.5.</w:t>
      </w:r>
      <w:r>
        <w:rPr>
          <w:rFonts w:ascii="Arial" w:hAnsi="Arial" w:eastAsia="Times New Roman" w:cs="Arial"/>
          <w:spacing w:val="-2"/>
          <w:sz w:val="20"/>
          <w:szCs w:val="20"/>
          <w:lang w:eastAsia="hi-IN" w:bidi="hi-IN"/>
        </w:rPr>
        <w:t xml:space="preserve"> Se cuenta con la existencia y suficiente disponibilidad de fondos en la partida presupuestaria No.</w:t>
      </w:r>
      <w:r>
        <w:rPr>
          <w:rFonts w:ascii="Arial" w:hAnsi="Arial" w:eastAsia="Times New Roman" w:cs="Arial"/>
          <w:spacing w:val="-2"/>
          <w:sz w:val="20"/>
          <w:szCs w:val="20"/>
          <w:highlight w:val="yellow"/>
          <w:lang w:eastAsia="hi-IN" w:bidi="hi-IN"/>
        </w:rPr>
        <w:t>7.3.36.5.01.04.16.01, denominada "Barrio para Mejor Vivir II" (código POA 154)</w:t>
      </w:r>
      <w:r>
        <w:rPr>
          <w:rFonts w:ascii="Arial" w:hAnsi="Arial" w:eastAsia="Times New Roman" w:cs="Arial"/>
          <w:spacing w:val="-2"/>
          <w:sz w:val="20"/>
          <w:szCs w:val="20"/>
          <w:lang w:eastAsia="hi-IN" w:bidi="hi-IN"/>
        </w:rPr>
        <w:t xml:space="preserve">, conforme consta en la certificación conferida por la Econ. María Fernanda Vintimilla Alvear, Directora General Financiera del Gobierno Autónomo Descentralizado Municipal del cantón Cuenca, mediante oficio No. </w:t>
      </w:r>
      <w:r>
        <w:rPr>
          <w:rFonts w:ascii="Arial" w:hAnsi="Arial" w:eastAsia="Times New Roman" w:cs="Arial"/>
          <w:spacing w:val="-2"/>
          <w:sz w:val="20"/>
          <w:szCs w:val="20"/>
          <w:highlight w:val="yellow"/>
          <w:lang w:eastAsia="hi-IN" w:bidi="hi-IN"/>
        </w:rPr>
        <w:t>DF-2195-2018, de fecha 17</w:t>
      </w:r>
      <w:r>
        <w:rPr>
          <w:rFonts w:ascii="Arial" w:hAnsi="Arial" w:eastAsia="Times New Roman" w:cs="Arial"/>
          <w:bCs/>
          <w:spacing w:val="-2"/>
          <w:kern w:val="32"/>
          <w:sz w:val="20"/>
          <w:szCs w:val="20"/>
          <w:highlight w:val="yellow"/>
          <w:lang w:val="es-ES" w:bidi="hi-IN"/>
        </w:rPr>
        <w:t xml:space="preserve"> de julio de 2018</w:t>
      </w:r>
      <w:r>
        <w:rPr>
          <w:rFonts w:ascii="Arial" w:hAnsi="Arial" w:eastAsia="Times New Roman" w:cs="Arial"/>
          <w:bCs/>
          <w:spacing w:val="-2"/>
          <w:kern w:val="32"/>
          <w:sz w:val="20"/>
          <w:szCs w:val="20"/>
          <w:lang w:val="es-ES" w:bidi="hi-IN"/>
        </w:rPr>
        <w:t>.</w:t>
      </w:r>
    </w:p>
    <w:p>
      <w:pPr>
        <w:tabs>
          <w:tab w:val="left" w:pos="1584"/>
          <w:tab w:val="left" w:pos="8116"/>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w:t>
      </w:r>
      <w:r>
        <w:rPr>
          <w:rFonts w:ascii="Arial" w:hAnsi="Arial" w:eastAsia="Times New Roman" w:cs="Arial"/>
          <w:spacing w:val="-2"/>
          <w:sz w:val="20"/>
          <w:szCs w:val="20"/>
          <w:lang w:eastAsia="hi-IN" w:bidi="hi-IN"/>
        </w:rPr>
        <w:t xml:space="preserve"> Luego del proceso correspondiente, el </w:t>
      </w:r>
      <w:r>
        <w:rPr>
          <w:rFonts w:ascii="Arial" w:hAnsi="Arial" w:eastAsia="Times New Roman" w:cs="Arial"/>
          <w:spacing w:val="-2"/>
          <w:sz w:val="20"/>
          <w:szCs w:val="20"/>
          <w:lang w:val="es-EC" w:eastAsia="hi-IN" w:bidi="hi-IN"/>
        </w:rPr>
        <w:t>..................................................</w:t>
      </w:r>
      <w:r>
        <w:rPr>
          <w:rFonts w:ascii="Arial" w:hAnsi="Arial" w:eastAsia="Times New Roman" w:cs="Arial"/>
          <w:spacing w:val="-2"/>
          <w:sz w:val="20"/>
          <w:szCs w:val="20"/>
          <w:lang w:eastAsia="hi-IN" w:bidi="hi-IN"/>
        </w:rPr>
        <w:t xml:space="preserve">, en calidad de Alcalde del Gobierno Autónomo Descentralizado Municipal del cantón Cuenca, mediante resolución de fecha __ de ___ de 2018, adjudicó la ejecución de la obra </w:t>
      </w:r>
      <w:r>
        <w:rPr>
          <w:rFonts w:ascii="Arial" w:hAnsi="Arial" w:eastAsia="Times New Roman" w:cs="Arial"/>
          <w:sz w:val="20"/>
          <w:szCs w:val="20"/>
          <w:lang w:eastAsia="hi-IN" w:bidi="hi-IN"/>
        </w:rPr>
        <w:t xml:space="preserve">por </w:t>
      </w:r>
      <w:r>
        <w:rPr>
          <w:rFonts w:ascii="Arial" w:hAnsi="Arial" w:eastAsia="Times New Roman" w:cs="Arial"/>
          <w:b/>
          <w:sz w:val="20"/>
          <w:szCs w:val="20"/>
          <w:lang w:eastAsia="hi-IN" w:bidi="hi-IN"/>
        </w:rPr>
        <w:t xml:space="preserve">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HORACION ENTRE JULIO VERNE Y HORACIO (FILO DE PAVIMENTO), </w:t>
      </w:r>
      <w:r>
        <w:rPr>
          <w:rFonts w:ascii="Arial" w:hAnsi="Arial" w:eastAsia="Times New Roman" w:cs="Arial"/>
          <w:spacing w:val="-2"/>
          <w:sz w:val="20"/>
          <w:szCs w:val="20"/>
          <w:lang w:eastAsia="hi-IN" w:bidi="hi-IN"/>
        </w:rPr>
        <w:t xml:space="preserve">al oferente </w:t>
      </w:r>
      <w:r>
        <w:rPr>
          <w:rFonts w:ascii="Arial" w:hAnsi="Arial" w:eastAsia="Times New Roman" w:cs="Arial"/>
          <w:spacing w:val="-3"/>
          <w:sz w:val="20"/>
          <w:szCs w:val="20"/>
          <w:lang w:eastAsia="hi-IN" w:bidi="hi-IN"/>
        </w:rPr>
        <w:t>Ing. __________, de acuerdo con la oferta presentada y a la documentación contenida en la misma, por un monto de _______________________ CON __/100 DOLARES DE ESTADOS UNIDOS DE AMÉRICA ($______.__), más IVA; y, un plazo de ________ ( __ ) días.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Segunda.- DOCUMENTOS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 </w:t>
      </w:r>
      <w:r>
        <w:rPr>
          <w:rFonts w:ascii="Arial" w:hAnsi="Arial" w:eastAsia="Times New Roman" w:cs="Arial"/>
          <w:spacing w:val="-2"/>
          <w:sz w:val="20"/>
          <w:szCs w:val="20"/>
          <w:lang w:eastAsia="hi-IN" w:bidi="hi-IN"/>
        </w:rPr>
        <w:t xml:space="preserve">Forman parte integrante del contrato los siguientes documentos: </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a) Las especificaciones técnicas, planos y diseños del proyecto que corresponden a la obra contratada.</w:t>
      </w: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p>
    <w:p>
      <w:pPr>
        <w:widowControl w:val="0"/>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b) Las Condiciones Generales de los Contratos de Ejecución de Obras para Obras de Pavimento Flexible, cuyo presupuesto referencial sea de hasta $ 2,000,0000.00 enmarcadas bajo financiamiento de la CAF.</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c) Los documentos presentados por el CONTRATISTA, en la convocatoria.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d) Las garantías presentadas por el CONTRATISTA.</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 La resolución de adjudicación.</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f) Las certificación presupuestaria de la Dirección Financiera del Gobierno Autónomo Descentralizado Municipal del cantón Cuenca, que acredita la existencia de la partida presupuestaria y disponibilidad de recursos, para el cumplimiento de las obligaciones derivadas del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g) Certificado del pago de la patente municipal para el presente año.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h) Declaratoria de responsabilidad Ambiental de las obras del Programa de pavimentación (CGA).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i) Certificado de pago de costos de levantamiento y edición de pliegos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j) Copia de la cuenta bancaria del contratista para depósitos.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k) Constancia de verificación en la página institucional del SERCOP respecto de que el contratista no está incluido </w:t>
      </w:r>
      <w:r>
        <w:rPr>
          <w:rFonts w:ascii="Arial" w:hAnsi="Arial" w:cs="Arial"/>
        </w:rPr>
        <w:t xml:space="preserve">dentro del Registro de Incumplimientos de Contratistas Incumplidos y Adjudicatarios Fallidos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Tercera.- OBJETO DEL CONTRATO </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lang w:eastAsia="hi-IN" w:bidi="hi-IN"/>
        </w:rPr>
        <w:t>3.1</w:t>
      </w:r>
      <w:r>
        <w:rPr>
          <w:rFonts w:ascii="Arial" w:hAnsi="Arial" w:eastAsia="Times New Roman" w:cs="Arial"/>
          <w:sz w:val="20"/>
          <w:szCs w:val="20"/>
          <w:lang w:eastAsia="hi-IN" w:bidi="hi-IN"/>
        </w:rPr>
        <w:t xml:space="preserve"> El CONTRATISTA se obliga para con la CONTRATANTE a ejecutar, terminar y entregar a entera satisfacción de la misma las:</w:t>
      </w:r>
      <w:r>
        <w:rPr>
          <w:rFonts w:ascii="Arial" w:hAnsi="Arial" w:eastAsia="Times New Roman" w:cs="Arial"/>
          <w:b/>
          <w:sz w:val="20"/>
          <w:szCs w:val="20"/>
          <w:lang w:eastAsia="hi-IN" w:bidi="hi-IN"/>
        </w:rPr>
        <w:t xml:space="preserve"> </w:t>
      </w:r>
      <w:r>
        <w:rPr>
          <w:rFonts w:ascii="Arial" w:hAnsi="Arial" w:eastAsia="Times New Roman" w:cs="Arial"/>
          <w:b/>
          <w:bCs/>
          <w:caps/>
          <w:sz w:val="20"/>
          <w:szCs w:val="20"/>
          <w:lang w:eastAsia="hi-IN" w:bidi="hi-IN"/>
        </w:rPr>
        <w:t>OBRAS HIDROSANITARIAS, CANALIZACIÓN TELEFÓNICA, CANALIZACIÓN ELÉCTRICA, MUROS, VEREDAS, BORDILLOS, PAVIMENTO FLEXIBLE, SEÑALIZACIÓN, MITIGACIÓN DE IMPACTOS AMBIENTALES, DE  LAS SIGUIENTES CALLES PERTENECIENTES A LA CIUDADELA SANTA MARÍA DEL VERGEL: HONORATO DE BALZAC ENTRE CIRCUNVALACIÓN SUR Y FERNAN CABALLERO; FERNAN CABALLERO Y SIN NOMBRE ENTRE HONORATO DE BALZAC Y RETORNO DE LA FERNAN CABALLERO; SIN NOMBRE Y HORACIO ENTRE JULIO VERNE Y HORACIO (FILO DE PAVIMENTO)</w:t>
      </w:r>
      <w:r>
        <w:rPr>
          <w:rFonts w:ascii="Arial" w:hAnsi="Arial" w:eastAsia="Times New Roman" w:cs="Arial"/>
          <w:b/>
          <w:sz w:val="20"/>
          <w:szCs w:val="20"/>
          <w:lang w:eastAsia="hi-IN" w:bidi="hi-IN"/>
        </w:rPr>
        <w:t>.</w:t>
      </w:r>
    </w:p>
    <w:p>
      <w:pPr>
        <w:tabs>
          <w:tab w:val="left" w:pos="-540"/>
        </w:tabs>
        <w:suppressAutoHyphens/>
        <w:spacing w:after="0" w:line="240" w:lineRule="auto"/>
        <w:ind w:left="15" w:right="45"/>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Se compromete al efecto, a realizar dicha obra, con sujeción a las condiciones,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Cuarta.- PRECIO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4.1.</w:t>
      </w:r>
      <w:r>
        <w:rPr>
          <w:rFonts w:ascii="Arial" w:hAnsi="Arial" w:eastAsia="Times New Roman" w:cs="Arial"/>
          <w:spacing w:val="-2"/>
          <w:sz w:val="20"/>
          <w:szCs w:val="20"/>
          <w:lang w:eastAsia="hi-IN" w:bidi="hi-IN"/>
        </w:rPr>
        <w:t xml:space="preserve"> El valor del presente contrato, que la CONTRATANTE pagará al CONTRATISTA, es el de</w:t>
      </w:r>
      <w:r>
        <w:rPr>
          <w:rFonts w:ascii="Arial" w:hAnsi="Arial" w:eastAsia="Times New Roman" w:cs="Arial"/>
          <w:spacing w:val="-3"/>
          <w:sz w:val="20"/>
          <w:szCs w:val="20"/>
          <w:lang w:eastAsia="hi-IN" w:bidi="hi-IN"/>
        </w:rPr>
        <w:t>_________________________CON __/100 DOLARES DE ESTADOS UNIDOS DE AMÉRICA ($ ____,___.__), más IVA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4.2. </w:t>
      </w:r>
      <w:r>
        <w:rPr>
          <w:rFonts w:ascii="Arial" w:hAnsi="Arial" w:eastAsia="Times New Roman" w:cs="Arial"/>
          <w:sz w:val="20"/>
          <w:szCs w:val="20"/>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highlight w:val="green"/>
          <w:lang w:eastAsia="hi-IN" w:bidi="hi-IN"/>
        </w:rPr>
        <w:t>AQUÍ LA TABLA DE PRESUPUESTO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Quinta.- FORMA DE PAGO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eastAsia="hi-IN" w:bidi="hi-IN"/>
        </w:rPr>
        <w:t>5.1.</w:t>
      </w:r>
      <w:r>
        <w:rPr>
          <w:rFonts w:ascii="Arial" w:hAnsi="Arial" w:eastAsia="Times New Roman" w:cs="Arial"/>
          <w:sz w:val="20"/>
          <w:szCs w:val="20"/>
          <w:lang w:eastAsia="hi-IN" w:bidi="hi-IN"/>
        </w:rPr>
        <w:t xml:space="preserve"> La CONTRATANTE entregará al CONTRATISTA, en el plazo máximo de </w:t>
      </w:r>
      <w:r>
        <w:rPr>
          <w:rFonts w:ascii="Arial" w:hAnsi="Arial" w:eastAsia="Times New Roman" w:cs="Arial"/>
          <w:b/>
          <w:bCs/>
          <w:spacing w:val="-2"/>
          <w:kern w:val="32"/>
          <w:sz w:val="20"/>
          <w:szCs w:val="20"/>
          <w:lang w:val="es-ES" w:bidi="hi-IN"/>
        </w:rPr>
        <w:t>treinta días</w:t>
      </w:r>
      <w:r>
        <w:rPr>
          <w:rFonts w:ascii="Arial" w:hAnsi="Arial" w:eastAsia="Times New Roman" w:cs="Arial"/>
          <w:sz w:val="20"/>
          <w:szCs w:val="20"/>
          <w:lang w:eastAsia="hi-IN" w:bidi="hi-IN"/>
        </w:rPr>
        <w:t xml:space="preserve">, contados desde la celebración del contrato </w:t>
      </w:r>
      <w:r>
        <w:rPr>
          <w:rFonts w:ascii="Arial" w:hAnsi="Arial" w:eastAsia="Times New Roman" w:cs="Arial"/>
          <w:spacing w:val="-2"/>
          <w:sz w:val="20"/>
          <w:szCs w:val="20"/>
          <w:lang w:eastAsia="hi-IN" w:bidi="hi-IN"/>
        </w:rPr>
        <w:t xml:space="preserve">en calidad de anticipo; el </w:t>
      </w:r>
      <w:r>
        <w:rPr>
          <w:rFonts w:ascii="Arial" w:hAnsi="Arial" w:eastAsia="Times New Roman" w:cs="Arial"/>
          <w:b/>
          <w:bCs/>
          <w:spacing w:val="-2"/>
          <w:kern w:val="32"/>
          <w:sz w:val="20"/>
          <w:szCs w:val="20"/>
          <w:lang w:val="es-ES" w:bidi="hi-IN"/>
        </w:rPr>
        <w:t>TREINTA POR CIENTO (30%)</w:t>
      </w:r>
      <w:r>
        <w:rPr>
          <w:rFonts w:ascii="Arial" w:hAnsi="Arial" w:eastAsia="Times New Roman" w:cs="Arial"/>
          <w:iCs/>
          <w:spacing w:val="-2"/>
          <w:sz w:val="20"/>
          <w:szCs w:val="20"/>
          <w:lang w:eastAsia="hi-IN" w:bidi="hi-IN"/>
        </w:rPr>
        <w:t>del valor del contrato, esto es la cantidad de________________________ CON __/100  ($ ___.___,__).</w:t>
      </w:r>
      <w:r>
        <w:rPr>
          <w:rFonts w:ascii="Arial" w:hAnsi="Arial" w:eastAsia="Times New Roman" w:cs="Arial"/>
          <w:spacing w:val="-2"/>
          <w:sz w:val="20"/>
          <w:szCs w:val="20"/>
          <w:lang w:eastAsia="hi-IN" w:bidi="hi-IN"/>
        </w:rPr>
        <w:t>De conformidad con el Artículo 299, inciso tercero de la Constitución de la República del Ecuador y Artículo 76 inciso segundo, del Código Orgánico de Planificación y Finanzas Públicas, el anticipo mientras no sea devengado en su totalidad, es considerado un recurso público, por lo que, será depositado por la entidad contratante en una cuenta que el CONTRATISTA aperturará en una institución financiera estatal, o privada en la que el estado tenga una participación accionaria o de capital superior al 50%. El contratista, en forma previa a la suscripción del contrato, deberá presentar el número de dicha cuenta bancaria en la Coordinación Administrativa de la Unidad Ejecutora de Proyectos.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r>
        <w:rPr>
          <w:rFonts w:ascii="Arial" w:hAnsi="Arial" w:eastAsia="Times New Roman" w:cs="Arial"/>
          <w:sz w:val="20"/>
          <w:szCs w:val="20"/>
          <w:lang w:bidi="hi-IN"/>
        </w:rPr>
        <w:t>El anticipo que la CONTRATANTE haya otorgado al CONTRATISTA para la ejecución de la obra objeto de este contrato, no podrá ser destinado a fines ajenos a esta contratación.</w:t>
      </w:r>
    </w:p>
    <w:p>
      <w:pPr>
        <w:tabs>
          <w:tab w:val="left" w:pos="864"/>
          <w:tab w:val="left" w:pos="2304"/>
        </w:tabs>
        <w:suppressAutoHyphens/>
        <w:spacing w:after="0" w:line="240" w:lineRule="auto"/>
        <w:ind w:left="15" w:right="45"/>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tabs>
          <w:tab w:val="left" w:pos="-1260"/>
          <w:tab w:val="left" w:pos="180"/>
        </w:tabs>
        <w:suppressAutoHyphens/>
        <w:spacing w:after="0" w:line="240" w:lineRule="auto"/>
        <w:ind w:left="15" w:right="45"/>
        <w:jc w:val="both"/>
        <w:rPr>
          <w:rFonts w:ascii="Arial" w:hAnsi="Arial" w:eastAsia="Times New Roman" w:cs="Arial"/>
          <w:spacing w:val="-2"/>
          <w:sz w:val="20"/>
          <w:szCs w:val="20"/>
          <w:lang w:eastAsia="hi-IN" w:bidi="hi-IN"/>
        </w:rPr>
      </w:pPr>
    </w:p>
    <w:p>
      <w:pPr>
        <w:shd w:val="clear" w:color="auto" w:fill="FFFFFF" w:themeFill="background1"/>
        <w:tabs>
          <w:tab w:val="left" w:pos="-540"/>
          <w:tab w:val="left" w:pos="1485"/>
        </w:tabs>
        <w:suppressAutoHyphens/>
        <w:autoSpaceDN w:val="0"/>
        <w:spacing w:after="0" w:line="240" w:lineRule="auto"/>
        <w:ind w:left="15" w:right="45"/>
        <w:jc w:val="both"/>
        <w:textAlignment w:val="baseline"/>
        <w:rPr>
          <w:rFonts w:ascii="Arial" w:hAnsi="Arial" w:eastAsia="Times New Roman" w:cs="Arial"/>
          <w:spacing w:val="-2"/>
          <w:sz w:val="20"/>
          <w:szCs w:val="20"/>
          <w:lang w:bidi="hi-IN"/>
        </w:rPr>
      </w:pPr>
      <w:r>
        <w:rPr>
          <w:rFonts w:ascii="Arial" w:hAnsi="Arial" w:eastAsia="Times New Roman" w:cs="Arial"/>
          <w:b/>
          <w:spacing w:val="-2"/>
          <w:sz w:val="20"/>
          <w:szCs w:val="20"/>
          <w:lang w:bidi="hi-IN"/>
        </w:rPr>
        <w:t>5.2.</w:t>
      </w:r>
      <w:r>
        <w:rPr>
          <w:rFonts w:ascii="Arial" w:hAnsi="Arial" w:eastAsia="Times New Roman" w:cs="Arial"/>
          <w:spacing w:val="-2"/>
          <w:sz w:val="20"/>
          <w:szCs w:val="20"/>
          <w:lang w:bidi="hi-IN"/>
        </w:rPr>
        <w:t xml:space="preserve"> El valor restante de la obra, esto es el </w:t>
      </w:r>
      <w:r>
        <w:rPr>
          <w:rFonts w:ascii="Arial" w:hAnsi="Arial" w:eastAsia="Times New Roman" w:cs="Arial"/>
          <w:b/>
          <w:bCs/>
          <w:spacing w:val="-2"/>
          <w:kern w:val="32"/>
          <w:sz w:val="20"/>
          <w:szCs w:val="20"/>
          <w:lang w:val="es-ES" w:bidi="hi-IN"/>
        </w:rPr>
        <w:t>SETENTA POR CIENTO (70%)</w:t>
      </w:r>
      <w:r>
        <w:rPr>
          <w:rFonts w:ascii="Arial" w:hAnsi="Arial" w:eastAsia="Times New Roman" w:cs="Arial"/>
          <w:spacing w:val="-2"/>
          <w:sz w:val="20"/>
          <w:szCs w:val="20"/>
          <w:lang w:bidi="hi-IN"/>
        </w:rPr>
        <w:t xml:space="preserve">, se cancelará </w:t>
      </w:r>
      <w:r>
        <w:rPr>
          <w:rFonts w:ascii="Arial" w:hAnsi="Arial" w:eastAsia="Times New Roman" w:cs="Arial"/>
          <w:spacing w:val="-2"/>
          <w:sz w:val="20"/>
          <w:szCs w:val="20"/>
          <w:lang w:eastAsia="hi-IN" w:bidi="hi-IN"/>
        </w:rPr>
        <w:t>mediante pago contra presentación de planillas mensuales de conformidad con el plazo del contrato, debidamente aprobadas por la fiscalización y autorizadas por la administración del contrato</w:t>
      </w:r>
      <w:r>
        <w:rPr>
          <w:rFonts w:ascii="Arial" w:hAnsi="Arial" w:eastAsia="Times New Roman" w:cs="Arial"/>
          <w:spacing w:val="-2"/>
          <w:sz w:val="20"/>
          <w:szCs w:val="20"/>
          <w:lang w:bidi="hi-IN"/>
        </w:rPr>
        <w:t>. De cada planilla se descontará la amortización del anticipo y cualquier otro cargo, legalmente establecido, al CONTRATISTA. El monto del anticipo entregado por la Entidad será devengado proporcionalmente al momento del pago de cada planilla hasta la terminación del plazo contractual inicialmente estipulado y constará en el cronograma pertinente que es parte del contrato.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5.3.</w:t>
      </w:r>
      <w:r>
        <w:rPr>
          <w:rFonts w:ascii="Arial" w:hAnsi="Arial" w:eastAsia="Times New Roman" w:cs="Arial"/>
          <w:spacing w:val="-2"/>
          <w:sz w:val="20"/>
          <w:szCs w:val="20"/>
          <w:lang w:eastAsia="hi-IN" w:bidi="hi-IN"/>
        </w:rPr>
        <w:t xml:space="preserve"> Entregada la planilla por el CONTRATISTA, a la fiscalización, en el primer día hábil de cada mes; la fiscalización en el plazo de cuatro días verificará, corregirá y aprobará la planilla presentada, e ingresará a la Coordinación Técnica de Fiscalización y de ser el caso continuará en forma inmediata el trámite para el pago. Si la fiscalización no aprueba o no expresa las razones fundadas de su objeción, transcurrido el plazo establecido, se entenderá que la planilla está aprobada y debe ser pagada por la CONTRATANTE.</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Para el caso de la planilla de liquidación de obra, el CONTRATISTA, deberá entregarla a la fiscalización dentro de los (10) días laborables posteriores a la fecha de terminación de la obra, o en el primer día hábil del mes siguiente, lo que ocurriera primero.</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5.4. Discrepancias:</w:t>
      </w:r>
      <w:r>
        <w:rPr>
          <w:rFonts w:ascii="Arial" w:hAnsi="Arial" w:eastAsia="Times New Roman" w:cs="Arial"/>
          <w:spacing w:val="-2"/>
          <w:sz w:val="20"/>
          <w:szCs w:val="20"/>
          <w:lang w:eastAsia="hi-IN" w:bidi="hi-IN"/>
        </w:rPr>
        <w:t xml:space="preserve"> Si existieren discrepancias entre las planillas presentadas por el CONTRATISTA y las cantidades de obra calculadas por la fiscalización, ésta notificará al CONTRATISTA. Si no se receptare respuesta, dentro de los  dos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485"/>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5.5.</w:t>
      </w:r>
      <w:r>
        <w:rPr>
          <w:rFonts w:ascii="Arial" w:hAnsi="Arial" w:eastAsia="Times New Roman" w:cs="Arial"/>
          <w:spacing w:val="-2"/>
          <w:sz w:val="20"/>
          <w:szCs w:val="20"/>
          <w:lang w:eastAsia="hi-IN" w:bidi="hi-IN"/>
        </w:rPr>
        <w:t xml:space="preserve"> El ultimo día  laborable de cada mes, la fiscalización y el CONTRATISTA, de forma conjunta, efectuarán las mediciones de las cantidades de obra ejecutadas durante el mes.  Se emplearán las unidades de medida y precios unitarios establecidos en la Tabla de Cantidades y Precios para cada rubro señalado.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452"/>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cada planilla de obra ejecutada, el fiscalizador calculará el reajuste de precios provisional, aplicando las fórmulas de reajuste que se indican en este contrato. El fiscalizador realizará el reajuste definitivo tan pronto se publiquen los índices del INEC que sean aplicables.</w:t>
      </w: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5.6. Trámite de las planillas</w:t>
      </w:r>
      <w:r>
        <w:rPr>
          <w:rFonts w:ascii="Arial" w:hAnsi="Arial" w:eastAsia="Times New Roman" w:cs="Arial"/>
          <w:sz w:val="20"/>
          <w:szCs w:val="20"/>
          <w:lang w:bidi="hi-IN"/>
        </w:rPr>
        <w:t>: Para el trámite de las planillas se observarán las siguientes reglas: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Las planillas serán preparadas por capítulos y siguiendo el orden establecido en la Tabla de descripción de rubros, unidades, cantidades y precios, con sujeción a los precios unitarios en dólares de los Estados Unidos de América en los diferentes rubros y por las cantidades reales de trabajos ejecutados.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El contratista preparará las planillas,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c. Para el caso de la planilla de liquidación de obra, el CONTRATISTA, deberá entregarla a la fiscalización dentro de los (10) días laborables posteriores a la fecha de terminación de la obra, o en el primer día hábil del mes siguiente, lo que ocurriera primero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d. Se adjuntarán los anexos de medidas, aprobaciones, pruebas de laboratorio y otros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e. La fiscalización verificará la planilla de aportes al IESS del personal de la obra.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f. 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g.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5.7. Requisito previo al pago de las planillas: </w:t>
      </w:r>
      <w:r>
        <w:rPr>
          <w:rFonts w:ascii="Arial" w:hAnsi="Arial" w:eastAsia="Times New Roman" w:cs="Arial"/>
          <w:sz w:val="20"/>
          <w:szCs w:val="20"/>
          <w:lang w:bidi="hi-IN"/>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5.8.- </w:t>
      </w:r>
      <w:r>
        <w:rPr>
          <w:rFonts w:ascii="Arial" w:hAnsi="Arial" w:eastAsia="Times New Roman" w:cs="Arial"/>
          <w:sz w:val="20"/>
          <w:szCs w:val="20"/>
          <w:lang w:bidi="hi-IN"/>
        </w:rPr>
        <w:t>De los pagos que deba hacer, la CONTRATANTE retendrá igualmente las multas que procedan, de acuerdo con el contrato.</w:t>
      </w:r>
    </w:p>
    <w:p>
      <w:pPr>
        <w:suppressAutoHyphens/>
        <w:spacing w:after="0" w:line="240" w:lineRule="auto"/>
        <w:jc w:val="both"/>
        <w:rPr>
          <w:rFonts w:ascii="Arial" w:hAnsi="Arial" w:eastAsia="Times New Roman" w:cs="Arial"/>
          <w:sz w:val="20"/>
          <w:szCs w:val="20"/>
          <w:lang w:bidi="hi-IN"/>
        </w:rPr>
      </w:pPr>
    </w:p>
    <w:p>
      <w:pPr>
        <w:tabs>
          <w:tab w:val="left" w:pos="1452"/>
        </w:tabs>
        <w:suppressAutoHyphens/>
        <w:spacing w:after="0" w:line="240" w:lineRule="auto"/>
        <w:ind w:left="15" w:right="45"/>
        <w:jc w:val="both"/>
        <w:rPr>
          <w:rFonts w:ascii="Arial" w:hAnsi="Arial" w:eastAsia="Times New Roman" w:cs="Arial"/>
          <w:i/>
          <w:iCs/>
          <w:spacing w:val="-2"/>
          <w:sz w:val="20"/>
          <w:szCs w:val="20"/>
          <w:lang w:eastAsia="hi-IN" w:bidi="hi-IN"/>
        </w:rPr>
      </w:pPr>
      <w:r>
        <w:rPr>
          <w:rFonts w:ascii="Arial" w:hAnsi="Arial" w:eastAsia="Times New Roman" w:cs="Arial"/>
          <w:b/>
          <w:bCs/>
          <w:sz w:val="20"/>
          <w:szCs w:val="20"/>
          <w:lang w:bidi="hi-IN"/>
        </w:rPr>
        <w:t xml:space="preserve">5.9. Pagos indebidos: </w:t>
      </w:r>
      <w:r>
        <w:rPr>
          <w:rFonts w:ascii="Arial" w:hAnsi="Arial" w:eastAsia="Times New Roman" w:cs="Arial"/>
          <w:sz w:val="20"/>
          <w:szCs w:val="20"/>
          <w:lang w:bidi="hi-IN"/>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 xml:space="preserve">Cláusula Sexta.- GARANTÍAS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6.1.</w:t>
      </w:r>
      <w:r>
        <w:rPr>
          <w:rFonts w:ascii="Arial" w:hAnsi="Arial" w:eastAsia="Times New Roman" w:cs="Arial"/>
          <w:spacing w:val="-2"/>
          <w:sz w:val="20"/>
          <w:szCs w:val="20"/>
          <w:lang w:eastAsia="hi-IN" w:bidi="hi-IN"/>
        </w:rPr>
        <w:t xml:space="preserve"> En este contrato se rendirán las siguientes garantías: </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pStyle w:val="57"/>
        <w:numPr>
          <w:ilvl w:val="2"/>
          <w:numId w:val="19"/>
        </w:numPr>
        <w:tabs>
          <w:tab w:val="left" w:pos="1593"/>
        </w:tabs>
        <w:ind w:right="45"/>
        <w:jc w:val="both"/>
        <w:rPr>
          <w:rFonts w:ascii="Arial" w:hAnsi="Arial" w:cs="Arial"/>
          <w:spacing w:val="-3"/>
          <w:sz w:val="20"/>
        </w:rPr>
      </w:pPr>
      <w:r>
        <w:rPr>
          <w:rFonts w:ascii="Arial" w:hAnsi="Arial" w:cs="Arial"/>
          <w:spacing w:val="-3"/>
          <w:sz w:val="20"/>
        </w:rPr>
        <w:t>La garantía de fiel cumplimiento del contrato, en forma previa a la celebración del mismo, el valor de ésta será de conformidad a lo estipulado en el Art. 74 de la LOSNCP.</w:t>
      </w:r>
    </w:p>
    <w:p>
      <w:pPr>
        <w:tabs>
          <w:tab w:val="left" w:pos="1593"/>
        </w:tabs>
        <w:suppressAutoHyphens/>
        <w:spacing w:after="0" w:line="240" w:lineRule="auto"/>
        <w:ind w:left="15" w:right="45"/>
        <w:jc w:val="both"/>
        <w:rPr>
          <w:rFonts w:ascii="Arial" w:hAnsi="Arial" w:eastAsia="Times New Roman" w:cs="Arial"/>
          <w:spacing w:val="-3"/>
          <w:sz w:val="20"/>
          <w:szCs w:val="20"/>
          <w:lang w:eastAsia="hi-IN" w:bidi="hi-IN"/>
        </w:rPr>
      </w:pPr>
    </w:p>
    <w:p>
      <w:pPr>
        <w:pStyle w:val="57"/>
        <w:numPr>
          <w:ilvl w:val="2"/>
          <w:numId w:val="19"/>
        </w:numPr>
        <w:tabs>
          <w:tab w:val="left" w:pos="889"/>
          <w:tab w:val="left" w:pos="2588"/>
        </w:tabs>
        <w:ind w:right="45"/>
        <w:jc w:val="both"/>
        <w:rPr>
          <w:rFonts w:ascii="Arial" w:hAnsi="Arial" w:cs="Arial"/>
          <w:spacing w:val="-3"/>
          <w:sz w:val="20"/>
        </w:rPr>
      </w:pPr>
      <w:r>
        <w:rPr>
          <w:rFonts w:ascii="Arial" w:hAnsi="Arial" w:cs="Arial"/>
          <w:spacing w:val="-3"/>
          <w:sz w:val="20"/>
        </w:rPr>
        <w:t>La garantía de buen uso del anticipo se rendirá por un valor igual al determinado, que respalde el 100% del monto a recibir por este concepto, la que deberá ser presentada previo a la entrega del mismo.</w:t>
      </w:r>
    </w:p>
    <w:p>
      <w:pPr>
        <w:tabs>
          <w:tab w:val="left" w:pos="1584"/>
          <w:tab w:val="left" w:pos="2304"/>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6.2. </w:t>
      </w:r>
      <w:r>
        <w:rPr>
          <w:rFonts w:ascii="Arial" w:hAnsi="Arial" w:eastAsia="Times New Roman" w:cs="Arial"/>
          <w:spacing w:val="-2"/>
          <w:sz w:val="20"/>
          <w:szCs w:val="20"/>
          <w:lang w:eastAsia="hi-IN" w:bidi="hi-IN"/>
        </w:rPr>
        <w:t>Las garantías entregadas se devolverán de acuerdo a lo establecido en el artículo 77 de la LOSCNP y 118 del RGLOSNCP. Entre tanto, deberán mantenerse vigentes, lo que será vigilado y exigido por la CONTRATANTE.</w:t>
      </w: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 Ejecución de las garantías:</w:t>
      </w:r>
      <w:r>
        <w:rPr>
          <w:rFonts w:ascii="Arial" w:hAnsi="Arial" w:eastAsia="Times New Roman" w:cs="Arial"/>
          <w:sz w:val="20"/>
          <w:szCs w:val="20"/>
          <w:lang w:bidi="hi-IN"/>
        </w:rPr>
        <w:t xml:space="preserve"> Las garantías contractuales podrán ser ejecutadas por la CONTRATANTE en los siguientes casos: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6.3.1. La de fiel cumplimiento del contrato: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Cuando la CONTRATANTE declare anticipada y unilateralmente terminado el contrato por causas imputables al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6.3.2. La del anticipo: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 Si el CONTRATISTA no la renovare cinco días antes de su vencimiento.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b) En caso de terminación unilateral del contrato y que el CONTRATISTA no pague a la CONTRATANTE el saldo adeudado del anticipo, después de diez días de notificado con la liquidación del contrato.</w:t>
      </w:r>
    </w:p>
    <w:p>
      <w:pPr>
        <w:suppressAutoHyphens/>
        <w:spacing w:after="0" w:line="240" w:lineRule="auto"/>
        <w:jc w:val="both"/>
        <w:rPr>
          <w:rFonts w:ascii="Arial" w:hAnsi="Arial" w:eastAsia="Times New Roman" w:cs="Arial"/>
          <w:sz w:val="20"/>
          <w:szCs w:val="20"/>
          <w:lang w:bidi="hi-IN"/>
        </w:rPr>
      </w:pPr>
    </w:p>
    <w:p>
      <w:pPr>
        <w:tabs>
          <w:tab w:val="left" w:pos="1584"/>
          <w:tab w:val="left" w:pos="230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2"/>
          <w:sz w:val="20"/>
          <w:szCs w:val="20"/>
          <w:lang w:eastAsia="hi-IN" w:bidi="hi-IN"/>
        </w:rPr>
        <w:t xml:space="preserve">6.4. </w:t>
      </w:r>
      <w:r>
        <w:rPr>
          <w:rFonts w:ascii="Arial" w:hAnsi="Arial" w:eastAsia="Times New Roman" w:cs="Arial"/>
          <w:spacing w:val="-3"/>
          <w:sz w:val="20"/>
          <w:szCs w:val="20"/>
          <w:lang w:eastAsia="hi-IN" w:bidi="hi-IN"/>
        </w:rPr>
        <w:t>Para garantizar las pérdidas o daños de cualesquier naturaleza que se puedan ocasionar en la ejecución de la obra a la entidad contratante o terceros, el Contratista entrega los documentos de seguro, para amparar los siguientes riesgos:</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en materiales, equipos y  obras; y,</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spacing w:val="-3"/>
          <w:sz w:val="20"/>
          <w:szCs w:val="20"/>
          <w:lang w:eastAsia="hi-IN" w:bidi="hi-IN"/>
        </w:rPr>
        <w:t>Pérdida o daños a la propiedad relacionada con el contrato, lesiones personales y muerte.</w:t>
      </w: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Séptima.- PLAZO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 xml:space="preserve">7.1. </w:t>
      </w:r>
      <w:r>
        <w:rPr>
          <w:rFonts w:ascii="Arial" w:hAnsi="Arial" w:eastAsia="Times New Roman" w:cs="Arial"/>
          <w:spacing w:val="-2"/>
          <w:sz w:val="20"/>
          <w:szCs w:val="20"/>
          <w:lang w:eastAsia="hi-IN" w:bidi="hi-IN"/>
        </w:rPr>
        <w:t xml:space="preserve">El plazo para la ejecución y terminación de la totalidad de los trabajos contratados es de </w:t>
      </w:r>
      <w:r>
        <w:rPr>
          <w:rFonts w:ascii="Arial" w:hAnsi="Arial" w:eastAsia="Times New Roman" w:cs="Arial"/>
          <w:b/>
          <w:bCs/>
          <w:spacing w:val="-2"/>
          <w:kern w:val="32"/>
          <w:sz w:val="20"/>
          <w:szCs w:val="20"/>
          <w:lang w:val="es-ES" w:bidi="hi-IN"/>
        </w:rPr>
        <w:t xml:space="preserve">NOVENTA DÍAS (90) </w:t>
      </w:r>
      <w:r>
        <w:rPr>
          <w:rFonts w:ascii="Arial" w:hAnsi="Arial" w:eastAsia="Times New Roman" w:cs="Arial"/>
          <w:spacing w:val="-2"/>
          <w:sz w:val="20"/>
          <w:szCs w:val="20"/>
          <w:lang w:eastAsia="hi-IN" w:bidi="hi-IN"/>
        </w:rPr>
        <w:t>días, contado a partir del día siguiente de que el anticipo se encuentra disponible en la cuenta del contratista</w:t>
      </w:r>
      <w:r>
        <w:rPr>
          <w:rFonts w:ascii="Arial" w:hAnsi="Arial" w:eastAsia="Times New Roman" w:cs="Arial"/>
          <w:sz w:val="20"/>
          <w:szCs w:val="20"/>
          <w:lang w:eastAsia="hi-IN" w:bidi="hi-IN"/>
        </w:rPr>
        <w:t>.</w:t>
      </w: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 recepción definitiva se realizará en el término de seis meses, a contarse desde la suscripción del acta de recepción provisional total o de la declaratoria de recepción provisional presunta o de la última recepción provisional parcial, si se hubiere previsto realizar varias de éstas.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
          <w:bCs/>
          <w:sz w:val="20"/>
          <w:szCs w:val="20"/>
          <w:lang w:bidi="hi-IN"/>
        </w:rPr>
        <w:t xml:space="preserve">7.2. Prórrogas de Plazo.- </w:t>
      </w:r>
      <w:r>
        <w:rPr>
          <w:rFonts w:ascii="Arial" w:hAnsi="Arial" w:eastAsia="Times New Roman" w:cs="Arial"/>
          <w:bCs/>
          <w:sz w:val="20"/>
          <w:szCs w:val="20"/>
          <w:lang w:bidi="hi-IN"/>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b) Cuando la CONTRATANTE ordenare la ejecución de trabajos adicionales, o cuando se produzcan aumentos de las cantidades de obra estimadas y que constan en la Tabla de Cantidades y Precios, para lo cual se utilizarán las figuras del contrato complementario, diferencias en cantidades de obra u órdenes de trabajo, según apliquen de acuerdo con la LOSNCP.</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bCs/>
          <w:sz w:val="20"/>
          <w:szCs w:val="20"/>
          <w:lang w:bidi="hi-IN"/>
        </w:rPr>
      </w:pPr>
      <w:r>
        <w:rPr>
          <w:rFonts w:ascii="Arial" w:hAnsi="Arial" w:eastAsia="Times New Roman" w:cs="Arial"/>
          <w:bCs/>
          <w:sz w:val="20"/>
          <w:szCs w:val="20"/>
          <w:lang w:bidi="hi-IN"/>
        </w:rPr>
        <w:t>c) Por suspensiones en los trabajos o cambios de las actividades previstas en el cronograma, motivadas por la CONTRATANTE u ordenadas por ella, a través de la fiscalización, y que no se deban a causas imputables al CONTRATISTA.</w:t>
      </w:r>
    </w:p>
    <w:p>
      <w:pPr>
        <w:suppressAutoHyphens/>
        <w:spacing w:after="0" w:line="240" w:lineRule="auto"/>
        <w:jc w:val="both"/>
        <w:rPr>
          <w:rFonts w:ascii="Arial" w:hAnsi="Arial" w:eastAsia="Times New Roman" w:cs="Arial"/>
          <w:bCs/>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Cs/>
          <w:sz w:val="20"/>
          <w:szCs w:val="20"/>
          <w:lang w:bidi="hi-IN"/>
        </w:rPr>
        <w:t>d) Si la CONTRATANTE no hubiera solucionado los problemas administrativos-contractuales o constructivos en forma oportuna, cuando tales circunstancias incidan en la ejecución de los trabajos.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7.2.1. </w:t>
      </w:r>
      <w:r>
        <w:rPr>
          <w:rFonts w:ascii="Arial" w:hAnsi="Arial" w:eastAsia="Times New Roman" w:cs="Arial"/>
          <w:sz w:val="20"/>
          <w:szCs w:val="20"/>
          <w:lang w:bidi="hi-IN"/>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Octava.- OBLIGACIONES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w:t>
      </w:r>
      <w:r>
        <w:rPr>
          <w:rFonts w:ascii="Arial" w:hAnsi="Arial" w:eastAsia="Times New Roman" w:cs="Arial"/>
          <w:sz w:val="20"/>
          <w:szCs w:val="20"/>
          <w:lang w:bidi="hi-IN"/>
        </w:rPr>
        <w:t xml:space="preserve"> El contratista preparará las planillas (única o mensuales de conformidad con el plazo del contrato), las cuales se pondrán a consideración de la fiscalización en el primer día hábil de cada mes, y serán aprobadas por ella en el término de cuatro días, luego de lo cual, en forma inmediata, se continuará el trámite de autorización del administrador del contrato  y solo con dicha autorización  se procederá al pago.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8.2.</w:t>
      </w:r>
      <w:r>
        <w:rPr>
          <w:rFonts w:ascii="Arial" w:hAnsi="Arial" w:eastAsia="Times New Roman" w:cs="Arial"/>
          <w:sz w:val="20"/>
          <w:szCs w:val="20"/>
          <w:lang w:bidi="hi-IN"/>
        </w:rPr>
        <w:t xml:space="preserve"> Además, el contratista presentará con las planillas el estado de avance del proyecto y un cuadro informativo resumen, que indicará, para cada concepto de trabajo, el rubro, la descripción, unidad, la cantidad total y el valor total contratado, las cantidades y el valor acumulado hasta la fecha anterior, y en el período en consideración, y la cantidad y el valor acumulado hasta la fecha. Estos documentos se elaborarán según el modelo preparado por la fiscalización y serán requisito indispensable para tramitar la planilla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8.3.</w:t>
      </w:r>
      <w:r>
        <w:rPr>
          <w:rFonts w:ascii="Arial" w:hAnsi="Arial" w:eastAsia="Times New Roman" w:cs="Arial"/>
          <w:sz w:val="20"/>
          <w:szCs w:val="20"/>
          <w:lang w:bidi="hi-IN"/>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w:t>
      </w:r>
    </w:p>
    <w:p>
      <w:pPr>
        <w:suppressAutoHyphens/>
        <w:spacing w:after="0" w:line="240" w:lineRule="auto"/>
        <w:jc w:val="both"/>
        <w:rPr>
          <w:rFonts w:ascii="Arial" w:hAnsi="Arial" w:eastAsia="Times New Roman" w:cs="Arial"/>
          <w:sz w:val="20"/>
          <w:szCs w:val="20"/>
          <w:lang w:bidi="hi-IN"/>
        </w:rPr>
      </w:pPr>
    </w:p>
    <w:p>
      <w:pPr>
        <w:tabs>
          <w:tab w:val="left" w:pos="864"/>
          <w:tab w:val="left" w:pos="230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z w:val="20"/>
          <w:szCs w:val="20"/>
          <w:lang w:bidi="hi-IN"/>
        </w:rPr>
        <w:t xml:space="preserve">8.4 </w:t>
      </w:r>
      <w:r>
        <w:rPr>
          <w:rFonts w:ascii="Arial" w:hAnsi="Arial" w:eastAsia="Times New Roman" w:cs="Arial"/>
          <w:sz w:val="20"/>
          <w:szCs w:val="20"/>
          <w:lang w:bidi="hi-IN"/>
        </w:rPr>
        <w:t>El contratista previo a la entrega del anticipo, entregará a la Fiscalización un cronograma de la utilización de estos recursos entregados por el GAD municipal del cantón Cuenca en calidad de anticipo para la ejecución de la obra.</w:t>
      </w:r>
    </w:p>
    <w:p>
      <w:pPr>
        <w:suppressAutoHyphens/>
        <w:spacing w:after="0" w:line="240" w:lineRule="auto"/>
        <w:jc w:val="both"/>
        <w:rPr>
          <w:rFonts w:ascii="Arial" w:hAnsi="Arial" w:eastAsia="Times New Roman" w:cs="Arial"/>
          <w:b/>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8.5.</w:t>
      </w:r>
      <w:r>
        <w:rPr>
          <w:rFonts w:ascii="Arial" w:hAnsi="Arial" w:eastAsia="Times New Roman" w:cs="Arial"/>
          <w:sz w:val="20"/>
          <w:szCs w:val="20"/>
          <w:lang w:bidi="hi-IN"/>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8.6.</w:t>
      </w:r>
      <w:r>
        <w:rPr>
          <w:rFonts w:ascii="Arial" w:hAnsi="Arial" w:eastAsia="Times New Roman" w:cs="Arial"/>
          <w:sz w:val="20"/>
          <w:szCs w:val="20"/>
          <w:lang w:bidi="hi-IN"/>
        </w:rPr>
        <w:t xml:space="preserve"> 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8.7.</w:t>
      </w:r>
      <w:r>
        <w:rPr>
          <w:rFonts w:ascii="Arial" w:hAnsi="Arial" w:eastAsia="Times New Roman" w:cs="Arial"/>
          <w:sz w:val="20"/>
          <w:szCs w:val="20"/>
          <w:lang w:bidi="hi-IN"/>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8.8.</w:t>
      </w:r>
      <w:r>
        <w:rPr>
          <w:rFonts w:ascii="Arial" w:hAnsi="Arial" w:eastAsia="Times New Roman" w:cs="Arial"/>
          <w:sz w:val="20"/>
          <w:szCs w:val="20"/>
          <w:lang w:bidi="hi-IN"/>
        </w:rPr>
        <w:t xml:space="preserve"> Queda expresamente establecido que constituye obligación del CONTRATISTA ejecutar conforme a las especificaciones técnicas, todos los rubros detallados en la Tabla de descripción de rubros, unidades, cantidades y precios.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8.9.</w:t>
      </w:r>
      <w:r>
        <w:rPr>
          <w:rFonts w:ascii="Arial" w:hAnsi="Arial" w:eastAsia="Times New Roman" w:cs="Arial"/>
          <w:sz w:val="20"/>
          <w:szCs w:val="20"/>
          <w:lang w:bidi="hi-IN"/>
        </w:rPr>
        <w:t xml:space="preserve"> El CONTRATISTA está obligado a cumplir con cualquiera otra que se derive natural y legalmente del objeto del contrato y sea exigible por constar en cualquier documento del mismo o en norma legal específicamente aplicable.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8.10.</w:t>
      </w:r>
      <w:r>
        <w:rPr>
          <w:rFonts w:ascii="Arial" w:hAnsi="Arial" w:eastAsia="Times New Roman" w:cs="Arial"/>
          <w:sz w:val="20"/>
          <w:szCs w:val="20"/>
          <w:lang w:bidi="hi-IN"/>
        </w:rPr>
        <w:t xml:space="preserve"> 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8.11.</w:t>
      </w:r>
      <w:r>
        <w:rPr>
          <w:rFonts w:ascii="Arial" w:hAnsi="Arial" w:eastAsia="Times New Roman" w:cs="Arial"/>
          <w:sz w:val="20"/>
          <w:szCs w:val="20"/>
          <w:lang w:bidi="hi-IN"/>
        </w:rPr>
        <w:t xml:space="preserve"> EL CONTRATISTA se obliga al cumplimiento de lo exigido en las CONDICIONES GENERALES PARA LA CONTRATACIÓN DE EJECUCION DE OBRAS y a lo establecido en la legislación ambiental, de seguridad industrial y salud ocupacional, seguridad social, laboral, etc.</w:t>
      </w:r>
    </w:p>
    <w:p>
      <w:pPr>
        <w:suppressAutoHyphens/>
        <w:spacing w:after="0" w:line="240" w:lineRule="auto"/>
        <w:jc w:val="both"/>
        <w:rPr>
          <w:rFonts w:ascii="Arial" w:hAnsi="Arial" w:eastAsia="Times New Roman" w:cs="Arial"/>
          <w:sz w:val="20"/>
          <w:szCs w:val="20"/>
          <w:lang w:bidi="hi-IN"/>
        </w:rPr>
      </w:pPr>
    </w:p>
    <w:p>
      <w:pPr>
        <w:spacing w:after="0" w:line="240" w:lineRule="auto"/>
        <w:jc w:val="both"/>
        <w:rPr>
          <w:rFonts w:ascii="Arial" w:hAnsi="Arial" w:cs="Arial"/>
          <w:lang w:eastAsia="hi-IN"/>
        </w:rPr>
      </w:pPr>
      <w:r>
        <w:rPr>
          <w:rFonts w:ascii="Arial" w:hAnsi="Arial" w:cs="Arial"/>
          <w:b/>
          <w:bCs/>
          <w:color w:val="000000"/>
          <w:lang w:eastAsia="hi-IN"/>
        </w:rPr>
        <w:t>8.12.</w:t>
      </w:r>
      <w:r>
        <w:rPr>
          <w:rFonts w:ascii="Arial" w:hAnsi="Arial" w:cs="Arial"/>
          <w:color w:val="000000"/>
          <w:lang w:eastAsia="hi-IN"/>
        </w:rPr>
        <w:t xml:space="preserve"> </w:t>
      </w:r>
      <w:r>
        <w:rPr>
          <w:rFonts w:ascii="Arial" w:hAnsi="Arial" w:cs="Arial"/>
          <w:lang w:eastAsia="hi-IN"/>
        </w:rPr>
        <w:t>El contratista, durante el tiempo que dure la ejecución de la obra, de ninguna forma o medio de comunicación, ya sea escrito, hablado o mediante redes sociales, podrá incluir en sus actividades publicidad referente a otra entidad, compañía, empresa o similar que no sea el Gobierno Autónomo Descentralizado Municipal del Cantón Cuenca.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b/>
          <w:bCs/>
          <w:sz w:val="20"/>
          <w:szCs w:val="20"/>
          <w:lang w:val="es-ES" w:bidi="hi-IN"/>
        </w:rPr>
        <w:t>Cláusula Novena.- CONTRATOS COMPLEMENTARIOS, DIFERENCIA EN CANTIDADES DE OBRA U ÓRDENES DE TRABAJO.-</w:t>
      </w:r>
    </w:p>
    <w:p>
      <w:pPr>
        <w:suppressAutoHyphens/>
        <w:spacing w:after="0" w:line="240" w:lineRule="auto"/>
        <w:jc w:val="both"/>
        <w:rPr>
          <w:rFonts w:ascii="Arial" w:hAnsi="Arial" w:eastAsia="Times New Roman" w:cs="Arial"/>
          <w:sz w:val="20"/>
          <w:szCs w:val="20"/>
          <w:highlight w:val="yellow"/>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9.</w:t>
      </w:r>
      <w:r>
        <w:rPr>
          <w:rFonts w:ascii="Arial" w:hAnsi="Arial" w:eastAsia="Times New Roman" w:cs="Arial"/>
          <w:sz w:val="20"/>
          <w:szCs w:val="20"/>
          <w:lang w:bidi="hi-IN"/>
        </w:rPr>
        <w:t>1</w:t>
      </w:r>
      <w:r>
        <w:rPr>
          <w:rFonts w:ascii="Arial" w:hAnsi="Arial" w:cs="Arial"/>
        </w:rPr>
        <w:t xml:space="preserve"> </w:t>
      </w:r>
      <w:r>
        <w:rPr>
          <w:rFonts w:ascii="Arial" w:hAnsi="Arial" w:eastAsia="Times New Roman" w:cs="Arial"/>
          <w:sz w:val="20"/>
          <w:szCs w:val="20"/>
          <w:lang w:bidi="hi-IN"/>
        </w:rPr>
        <w:t>Por causas justificadas, las partes podrán firmar contratos complementarios o convenir en la ejecución de trabajos originados en diferencias en cantidades de obra u órdenes de trabajo, de conformidad con lo establecido en los artículos 85 y 86 de la LOSNCP; en los artículos 144 y 145 del RGLOSNCP; y en los artículos 8, 9 y 10 de la Ley de Eficiencia en la Contratación Pública, publicada en  el Segundo Suplemento del Registro Oficial N° 966 de fecha 20 de marzo de 2017, reformando a los artículos 87, 88 y 89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RECEPCIÓN PROVISIONAL Y DEFINITIVA DE LAS OBRAS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10.1.- RECEPCIÓN PROVISIONAL</w:t>
      </w:r>
      <w:r>
        <w:rPr>
          <w:rFonts w:ascii="Arial" w:hAnsi="Arial" w:eastAsia="Times New Roman" w:cs="Arial"/>
          <w:sz w:val="20"/>
          <w:szCs w:val="20"/>
          <w:lang w:bidi="hi-IN"/>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pPr>
        <w:tabs>
          <w:tab w:val="left" w:pos="4875"/>
        </w:tabs>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ab/>
      </w: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val="es-ES" w:bidi="hi-IN"/>
        </w:rPr>
      </w:pPr>
      <w:r>
        <w:rPr>
          <w:rFonts w:ascii="Arial" w:hAnsi="Arial" w:eastAsia="Times New Roman" w:cs="Arial"/>
          <w:sz w:val="20"/>
          <w:szCs w:val="20"/>
          <w:lang w:val="es-ES" w:bidi="hi-IN"/>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10.</w:t>
      </w:r>
      <w:r>
        <w:rPr>
          <w:rFonts w:ascii="Arial" w:hAnsi="Arial" w:eastAsia="Times New Roman" w:cs="Arial"/>
          <w:b/>
          <w:bCs/>
          <w:sz w:val="20"/>
          <w:szCs w:val="20"/>
          <w:lang w:bidi="hi-IN"/>
        </w:rPr>
        <w:t>2.- RECEPCIÓN DEFINITIVA</w:t>
      </w:r>
      <w:r>
        <w:rPr>
          <w:rFonts w:ascii="Arial" w:hAnsi="Arial" w:eastAsia="Times New Roman" w:cs="Arial"/>
          <w:sz w:val="20"/>
          <w:szCs w:val="20"/>
          <w:lang w:bidi="hi-IN"/>
        </w:rPr>
        <w:t>: Transcurrido el término fijado, esto es seis meses desde la suscripción del acta de recepción provisional total, o de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10.3.</w:t>
      </w:r>
      <w:r>
        <w:rPr>
          <w:rFonts w:ascii="Arial" w:hAnsi="Arial" w:eastAsia="Times New Roman" w:cs="Arial"/>
          <w:sz w:val="20"/>
          <w:szCs w:val="20"/>
          <w:lang w:bidi="hi-IN"/>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10.4. </w:t>
      </w:r>
      <w:r>
        <w:rPr>
          <w:rFonts w:ascii="Arial" w:hAnsi="Arial" w:eastAsia="Times New Roman" w:cs="Arial"/>
          <w:sz w:val="20"/>
          <w:szCs w:val="20"/>
          <w:lang w:bidi="hi-IN"/>
        </w:rPr>
        <w:t>Todos los gastos adicionales que demanden la comprobación, verificación y pruebas, aún de laboratorio, son de cuenta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10.5.</w:t>
      </w:r>
      <w:r>
        <w:rPr>
          <w:rFonts w:ascii="Arial" w:hAnsi="Arial" w:eastAsia="Times New Roman" w:cs="Arial"/>
          <w:sz w:val="20"/>
          <w:szCs w:val="20"/>
          <w:lang w:bidi="hi-IN"/>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10.6. </w:t>
      </w:r>
      <w:r>
        <w:rPr>
          <w:rFonts w:ascii="Arial" w:hAnsi="Arial" w:eastAsia="Times New Roman" w:cs="Arial"/>
          <w:sz w:val="20"/>
          <w:szCs w:val="20"/>
          <w:lang w:bidi="hi-IN"/>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Las partes buscarán en el plazo de 30 días posteriores a la recepción definitiva presunta suscribir el acta de la liquidación técnico-económica del contrato, sin perjuicio de iniciar las acciones legales de las que se crean asistidas.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10.7. ACTAS DE RECEPCIÓN:</w:t>
      </w:r>
      <w:r>
        <w:rPr>
          <w:rFonts w:ascii="Arial" w:hAnsi="Arial" w:eastAsia="Times New Roman" w:cs="Arial"/>
          <w:sz w:val="20"/>
          <w:szCs w:val="20"/>
          <w:lang w:bidi="hi-IN"/>
        </w:rPr>
        <w:t xml:space="preserve"> En cuanto al contenido de las actas de recepción parcial, provisional y definitiva, se observará lo establecido en el artículo 124 del RGLONSCP.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10.8. LIQUIDACIÓN DEL CONTRATO: </w:t>
      </w:r>
      <w:r>
        <w:rPr>
          <w:rFonts w:ascii="Arial" w:hAnsi="Arial" w:eastAsia="Times New Roman" w:cs="Arial"/>
          <w:sz w:val="20"/>
          <w:szCs w:val="20"/>
          <w:lang w:bidi="hi-IN"/>
        </w:rPr>
        <w:t>La liquidación final del contrato suscrita entre las partes se realizará en los términos previstos por el artículo 125 del RGLOSNCP.</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10.9. </w:t>
      </w:r>
      <w:r>
        <w:rPr>
          <w:rFonts w:ascii="Arial" w:hAnsi="Arial" w:eastAsia="Times New Roman" w:cs="Arial"/>
          <w:b/>
          <w:bCs/>
          <w:sz w:val="20"/>
          <w:szCs w:val="20"/>
          <w:lang w:bidi="hi-IN"/>
        </w:rPr>
        <w:t xml:space="preserve">PLANILLA DE LIQUIDACIÓN: </w:t>
      </w:r>
      <w:r>
        <w:rPr>
          <w:rFonts w:ascii="Arial" w:hAnsi="Arial" w:eastAsia="Times New Roman" w:cs="Arial"/>
          <w:sz w:val="20"/>
          <w:szCs w:val="20"/>
          <w:lang w:bidi="hi-IN"/>
        </w:rPr>
        <w:t>Junto con la solicitud de entrega-recepción definitiva de las obras, el CONTRATISTA presentará una planilla del estado de cuenta final.</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Undécima.- RESPONSABILIDAD DEL CONTRATISTA: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11.1. </w:t>
      </w:r>
      <w:r>
        <w:rPr>
          <w:rFonts w:ascii="Arial" w:hAnsi="Arial" w:eastAsia="Times New Roman" w:cs="Arial"/>
          <w:sz w:val="20"/>
          <w:szCs w:val="20"/>
          <w:lang w:bidi="hi-IN"/>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Cláusula Duodécima.- MANTENIMIENTO DE LA OBRA: </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sz w:val="20"/>
          <w:szCs w:val="20"/>
          <w:lang w:bidi="hi-IN"/>
        </w:rPr>
        <w:t xml:space="preserve">12.1. </w:t>
      </w:r>
      <w:r>
        <w:rPr>
          <w:rFonts w:ascii="Arial" w:hAnsi="Arial" w:eastAsia="Times New Roman" w:cs="Arial"/>
          <w:sz w:val="20"/>
          <w:szCs w:val="20"/>
          <w:lang w:bidi="hi-IN"/>
        </w:rPr>
        <w:t>El mantenimiento rutinario y vigilancia de la obra, entre la recepción provisional y la definitiva, estará a cargo del CONTRATISTA, para lo cual deberá proporcionar el personal y las instalaciones adecuadas.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Cláusula Décima Tercera.- TRIBUTOS, RETENCIONES Y GASTOS</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13.1.</w:t>
      </w:r>
      <w:r>
        <w:rPr>
          <w:rFonts w:ascii="Arial" w:hAnsi="Arial" w:eastAsia="Times New Roman" w:cs="Arial"/>
          <w:sz w:val="20"/>
          <w:szCs w:val="20"/>
          <w:lang w:bidi="hi-IN"/>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sz w:val="20"/>
          <w:szCs w:val="20"/>
          <w:lang w:bidi="hi-IN"/>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pPr>
        <w:suppressAutoHyphens/>
        <w:spacing w:after="0" w:line="240" w:lineRule="auto"/>
        <w:jc w:val="both"/>
        <w:rPr>
          <w:rFonts w:ascii="Arial" w:hAnsi="Arial" w:eastAsia="Times New Roman" w:cs="Arial"/>
          <w:sz w:val="20"/>
          <w:szCs w:val="20"/>
          <w:lang w:bidi="hi-IN"/>
        </w:rPr>
      </w:pPr>
    </w:p>
    <w:p>
      <w:pPr>
        <w:suppressAutoHyphens/>
        <w:spacing w:after="0" w:line="240" w:lineRule="auto"/>
        <w:jc w:val="both"/>
        <w:rPr>
          <w:rFonts w:ascii="Arial" w:hAnsi="Arial" w:eastAsia="Times New Roman" w:cs="Arial"/>
          <w:sz w:val="20"/>
          <w:szCs w:val="20"/>
          <w:lang w:bidi="hi-IN"/>
        </w:rPr>
      </w:pPr>
      <w:r>
        <w:rPr>
          <w:rFonts w:ascii="Arial" w:hAnsi="Arial" w:eastAsia="Times New Roman" w:cs="Arial"/>
          <w:b/>
          <w:bCs/>
          <w:sz w:val="20"/>
          <w:szCs w:val="20"/>
          <w:lang w:bidi="hi-IN"/>
        </w:rPr>
        <w:t xml:space="preserve">13.2. </w:t>
      </w:r>
      <w:r>
        <w:rPr>
          <w:rFonts w:ascii="Arial" w:hAnsi="Arial" w:eastAsia="Times New Roman" w:cs="Arial"/>
          <w:sz w:val="20"/>
          <w:szCs w:val="20"/>
          <w:lang w:bidi="hi-IN"/>
        </w:rPr>
        <w:t>Es de cuenta del CONTRATISTA el pago de los gastos notariales, de las copias certificadas del contrato y los documentos que deban ser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pPr>
        <w:suppressAutoHyphens/>
        <w:spacing w:after="0" w:line="240" w:lineRule="auto"/>
        <w:jc w:val="both"/>
        <w:rPr>
          <w:rFonts w:ascii="Arial" w:hAnsi="Arial" w:eastAsia="Times New Roman" w:cs="Arial"/>
          <w:sz w:val="20"/>
          <w:szCs w:val="20"/>
          <w:lang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Cuarta.- MULTAS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spacing w:val="-2"/>
          <w:sz w:val="20"/>
          <w:szCs w:val="20"/>
          <w:lang w:eastAsia="hi-IN" w:bidi="hi-IN"/>
        </w:rPr>
        <w:t>14.1.</w:t>
      </w:r>
      <w:r>
        <w:rPr>
          <w:rFonts w:ascii="Arial" w:hAnsi="Arial" w:eastAsia="Times New Roman" w:cs="Arial"/>
          <w:sz w:val="20"/>
          <w:szCs w:val="20"/>
          <w:lang w:eastAsia="hi-IN" w:bidi="hi-IN"/>
        </w:rPr>
        <w:t xml:space="preserve"> Una vez cumplido el plazo contractual más sus ampliaciones en caso de haberlas, y en caso de demora o retardo en la entrega de los trabajos objeto de este contrato,  por causas imputables al Contratista, éste pagará al </w:t>
      </w:r>
      <w:r>
        <w:rPr>
          <w:rFonts w:ascii="Arial" w:hAnsi="Arial" w:eastAsia="Times New Roman" w:cs="Arial"/>
          <w:spacing w:val="-2"/>
          <w:sz w:val="20"/>
          <w:szCs w:val="20"/>
          <w:lang w:eastAsia="hi-IN" w:bidi="hi-IN"/>
        </w:rPr>
        <w:t>Gobierno Autónomo Descentralizado Municipal de Cuenca</w:t>
      </w:r>
      <w:r>
        <w:rPr>
          <w:rFonts w:ascii="Arial" w:hAnsi="Arial" w:eastAsia="Times New Roman" w:cs="Arial"/>
          <w:sz w:val="20"/>
          <w:szCs w:val="20"/>
          <w:lang w:eastAsia="hi-IN" w:bidi="hi-IN"/>
        </w:rPr>
        <w:t xml:space="preserve"> una multa equivalente al dos por mil del monto total del contrato por cada día calendario de retraso.</w:t>
      </w:r>
    </w:p>
    <w:p>
      <w:pPr>
        <w:suppressAutoHyphens/>
        <w:spacing w:after="0" w:line="240" w:lineRule="auto"/>
        <w:ind w:right="-119"/>
        <w:jc w:val="both"/>
        <w:rPr>
          <w:rFonts w:ascii="Arial" w:hAnsi="Arial" w:eastAsia="Times New Roman" w:cs="Arial"/>
          <w:b/>
          <w:bCs/>
          <w:spacing w:val="-2"/>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bCs/>
          <w:spacing w:val="-2"/>
          <w:sz w:val="20"/>
          <w:szCs w:val="20"/>
          <w:lang w:eastAsia="hi-IN" w:bidi="hi-IN"/>
        </w:rPr>
        <w:t xml:space="preserve">14.2. </w:t>
      </w:r>
      <w:r>
        <w:rPr>
          <w:rFonts w:ascii="Arial" w:hAnsi="Arial" w:eastAsia="Times New Roman" w:cs="Arial"/>
          <w:sz w:val="20"/>
          <w:szCs w:val="20"/>
          <w:lang w:eastAsia="hi-IN" w:bidi="hi-IN"/>
        </w:rPr>
        <w:t>Si el Contratista no cumpliere mensualmente con el cronograma de avance de obra, se hará acreedor a una multa equivalente al uno por ciento (1%) de la diferencia entre el valor programado y lo ejecutado en la fecha respectiva. El mínimo cumplimiento a exigirse al Contratista será el 100% acumulado y programado para los meses anteriores al de la evaluación más el 80% de lo programado en el mes que se evalúa. Si el Contratista no presentare la programación y el cronograma valorado dentro de los primeros cinco días hábiles luego del pago del anticipo, la Entidad le entregará su programación y elaborará y entregará su cronograma valorado, los que serán de aceptación obligatoria para el Contratista, mismos que serán aplicables para medir los avances mensuales porcentuales de los trabajos ejecutados.</w:t>
      </w:r>
    </w:p>
    <w:p>
      <w:pPr>
        <w:tabs>
          <w:tab w:val="left" w:pos="360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b/>
      </w: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b/>
          <w:bCs/>
          <w:sz w:val="20"/>
          <w:szCs w:val="20"/>
          <w:lang w:eastAsia="hi-IN" w:bidi="hi-IN"/>
        </w:rPr>
        <w:t xml:space="preserve">14.3. </w:t>
      </w:r>
      <w:r>
        <w:rPr>
          <w:rFonts w:ascii="Arial" w:hAnsi="Arial" w:eastAsia="Times New Roman" w:cs="Arial"/>
          <w:sz w:val="20"/>
          <w:szCs w:val="20"/>
          <w:lang w:eastAsia="hi-IN" w:bidi="hi-IN"/>
        </w:rPr>
        <w:t>Asimismo, el Gobierno Autónomo Descentralizado Municipal del cantón Cuenca,  impondrá al Contratista multas del uno por mil (1‰) del monto del contrato por cada día de incumplimiento, en los siguientes casos:</w:t>
      </w:r>
    </w:p>
    <w:p>
      <w:pPr>
        <w:suppressAutoHyphens/>
        <w:spacing w:after="0" w:line="240" w:lineRule="auto"/>
        <w:ind w:right="-119"/>
        <w:jc w:val="both"/>
        <w:rPr>
          <w:rFonts w:ascii="Arial" w:hAnsi="Arial" w:eastAsia="Times New Roman" w:cs="Arial"/>
          <w:sz w:val="20"/>
          <w:szCs w:val="20"/>
          <w:lang w:eastAsia="hi-IN" w:bidi="hi-IN"/>
        </w:rPr>
      </w:pPr>
    </w:p>
    <w:p>
      <w:pPr>
        <w:pStyle w:val="57"/>
        <w:numPr>
          <w:ilvl w:val="0"/>
          <w:numId w:val="20"/>
        </w:numPr>
        <w:rPr>
          <w:rFonts w:ascii="Arial" w:hAnsi="Arial" w:cs="Arial"/>
          <w:sz w:val="20"/>
        </w:rPr>
      </w:pPr>
      <w:r>
        <w:rPr>
          <w:rFonts w:ascii="Arial" w:hAnsi="Arial" w:cs="Arial"/>
          <w:sz w:val="20"/>
        </w:rPr>
        <w:t>Si no dispone del personal técnico u operacional o del equipo de construcción de acuerdo a los compromisos contractuales;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Si el Contratista no acatare las órdenes de la Fiscalización y durante el tiempo que dure este incumplimiento.</w:t>
      </w:r>
    </w:p>
    <w:p>
      <w:pPr>
        <w:pStyle w:val="57"/>
        <w:numPr>
          <w:ilvl w:val="0"/>
          <w:numId w:val="20"/>
        </w:numPr>
        <w:rPr>
          <w:rFonts w:ascii="Arial" w:hAnsi="Arial" w:cs="Arial"/>
          <w:sz w:val="20"/>
        </w:rPr>
      </w:pPr>
      <w:r>
        <w:rPr>
          <w:rFonts w:ascii="Arial" w:hAnsi="Arial" w:cs="Arial"/>
          <w:sz w:val="20"/>
        </w:rPr>
        <w:t>Cuando intencionalmente el Contratista obstaculice los trabajos de otros Contratistas o de los trabajadores de la Entidad;</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presentación de planillas.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atraso en la solicitud de recepción provisional de la obra.</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no cumplir con las normas ambientales vigentes.</w:t>
      </w:r>
    </w:p>
    <w:p>
      <w:pPr>
        <w:numPr>
          <w:ilvl w:val="0"/>
          <w:numId w:val="20"/>
        </w:num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Por publicitar durante la ejecución de la obra, a través de cualquier medio de comunicación, ya sea escrito, hablado o mediante redes sociales, a entidades, compañías o empresas que no sea el Gobierno Autónomo Descentralizado Municipal del cantón Cuenca.</w:t>
      </w:r>
    </w:p>
    <w:p>
      <w:pPr>
        <w:suppressAutoHyphens/>
        <w:spacing w:after="0" w:line="240" w:lineRule="auto"/>
        <w:ind w:right="-119"/>
        <w:jc w:val="both"/>
        <w:rPr>
          <w:rFonts w:ascii="Arial" w:hAnsi="Arial" w:eastAsia="Times New Roman" w:cs="Arial"/>
          <w:sz w:val="20"/>
          <w:szCs w:val="20"/>
          <w:lang w:eastAsia="hi-IN" w:bidi="hi-IN"/>
        </w:rPr>
      </w:pPr>
    </w:p>
    <w:p>
      <w:pPr>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Además se sancionará con una multa del uno por mil (1‰) del monto del contrato por cada vez que se determine la omisión de problemas o incumplimientos del plan de manejo ambiental de manera frecuente; en los informes que el administrador del contrato detecte en los frentes de obra.</w:t>
      </w:r>
    </w:p>
    <w:p>
      <w:pPr>
        <w:tabs>
          <w:tab w:val="left" w:pos="-540"/>
        </w:tabs>
        <w:suppressAutoHyphens/>
        <w:spacing w:after="0" w:line="240" w:lineRule="auto"/>
        <w:ind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Quinta.- DEL REAJUSTE DE PRECIOS</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15.1. </w:t>
      </w:r>
      <w:r>
        <w:rPr>
          <w:rFonts w:ascii="Arial" w:hAnsi="Arial" w:eastAsia="Times New Roman" w:cs="Arial"/>
          <w:spacing w:val="-2"/>
          <w:sz w:val="20"/>
          <w:szCs w:val="20"/>
          <w:lang w:eastAsia="hi-IN" w:bidi="hi-IN"/>
        </w:rPr>
        <w:t>El reajuste de precios para efectos del pago de las planillas se calculará de acuerdo con la(s) siguientes fórmula(s):</w:t>
      </w: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z w:val="20"/>
          <w:szCs w:val="20"/>
          <w:lang w:eastAsia="hi-IN" w:bidi="hi-IN"/>
        </w:rPr>
      </w:pPr>
    </w:p>
    <w:p>
      <w:pPr>
        <w:tabs>
          <w:tab w:val="left" w:pos="1584"/>
        </w:tabs>
        <w:suppressAutoHyphens/>
        <w:spacing w:after="0" w:line="240" w:lineRule="auto"/>
        <w:ind w:left="15" w:right="45"/>
        <w:jc w:val="both"/>
        <w:rPr>
          <w:rFonts w:ascii="Arial" w:hAnsi="Arial" w:eastAsia="Times New Roman" w:cs="Arial"/>
          <w:b/>
          <w:sz w:val="20"/>
          <w:szCs w:val="20"/>
          <w:lang w:eastAsia="hi-IN" w:bidi="hi-IN"/>
        </w:rPr>
      </w:pPr>
      <w:r>
        <w:rPr>
          <w:rFonts w:ascii="Arial" w:hAnsi="Arial" w:eastAsia="Times New Roman" w:cs="Arial"/>
          <w:b/>
          <w:sz w:val="20"/>
          <w:szCs w:val="20"/>
          <w:highlight w:val="green"/>
          <w:lang w:eastAsia="hi-IN" w:bidi="hi-IN"/>
        </w:rPr>
        <w:t>AQUÍ LA FORMULA POLINOMICA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720"/>
        </w:tabs>
        <w:suppressAutoHyphens/>
        <w:spacing w:after="0" w:line="240" w:lineRule="auto"/>
        <w:ind w:right="-119"/>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Dónde:</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Pr:</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reajustado del anticipo o de la planilla.</w:t>
      </w:r>
    </w:p>
    <w:p>
      <w:pPr>
        <w:tabs>
          <w:tab w:val="left" w:pos="-720"/>
        </w:tabs>
        <w:suppressAutoHyphens/>
        <w:spacing w:after="0" w:line="240" w:lineRule="auto"/>
        <w:ind w:right="-119"/>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Po:</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Valor del anticipo o de la planilla calculada con las cantidades de obra ejecutada a los precios unitarios contractuales descontada la parte proporcional del anticipo, de haberlo pagado.</w:t>
      </w: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Subíndices  1: Índices de precios a la fecha de pago de la planilla o anticipo.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z w:val="20"/>
          <w:szCs w:val="20"/>
          <w:lang w:eastAsia="hi-IN" w:bidi="hi-IN"/>
        </w:rPr>
        <w:t>Subíndices 0: Índices de precios correspondientes a 30 días antes de la presentación de la oferta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fecha de partida -sub cero-, corresponde a los treinta días anteriores de la fecha límite de presentación de las ofertas.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Sexta.- SUBCONTRATACIÓN</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16.1.</w:t>
      </w:r>
      <w:r>
        <w:rPr>
          <w:rFonts w:ascii="Arial" w:hAnsi="Arial" w:eastAsia="Times New Roman" w:cs="Arial"/>
          <w:spacing w:val="-2"/>
          <w:sz w:val="20"/>
          <w:szCs w:val="20"/>
          <w:lang w:eastAsia="hi-IN" w:bidi="hi-IN"/>
        </w:rPr>
        <w:t xml:space="preserve"> El CONTRATISTA podrá subcontratar determinados trabajos previa autorización de la entidad contratante siempre que el monto de la totalidad de lo subcontratado no exceda del 30% del valor total del contrato principal, y el subcontratista esté habilitado en el RUP.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16.2.</w:t>
      </w:r>
      <w:r>
        <w:rPr>
          <w:rFonts w:ascii="Arial" w:hAnsi="Arial" w:eastAsia="Times New Roman" w:cs="Arial"/>
          <w:spacing w:val="-2"/>
          <w:sz w:val="20"/>
          <w:szCs w:val="20"/>
          <w:lang w:eastAsia="hi-IN" w:bidi="hi-IN"/>
        </w:rPr>
        <w:t xml:space="preserve"> El CONTRATISTA será el único responsable ante la CONTRATANTE por los actos u omisiones de sus subcontratistas y de las personas directa o indirectamente empleadas por ellos.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Séptima.- DE LA ADMINISTRACIÓN DEL CONTRATO:</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17.1</w:t>
      </w:r>
      <w:r>
        <w:rPr>
          <w:rFonts w:ascii="Arial" w:hAnsi="Arial" w:eastAsia="Times New Roman" w:cs="Arial"/>
          <w:spacing w:val="-2"/>
          <w:sz w:val="20"/>
          <w:szCs w:val="20"/>
          <w:lang w:eastAsia="hi-IN" w:bidi="hi-IN"/>
        </w:rPr>
        <w:t xml:space="preserve"> LA CONTRATANTE designará al administrador del contrato, quien deberá atenerse a las condiciones generales que forman parte del presente contrato.</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17.2</w:t>
      </w:r>
      <w:r>
        <w:rPr>
          <w:rFonts w:ascii="Arial" w:hAnsi="Arial" w:eastAsia="Times New Roman" w:cs="Arial"/>
          <w:spacing w:val="-2"/>
          <w:sz w:val="20"/>
          <w:szCs w:val="20"/>
          <w:lang w:eastAsia="hi-IN" w:bidi="hi-IN"/>
        </w:rPr>
        <w:t xml:space="preserve"> LA CONTRATANTE podrá cambiar de administrador del contrato, para lo cual bastará cursar al CONTRATISTA la respectiva comunicación; sin que sea necesario la modificación del texto contractual.</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Décima Octava.- TERMINACION DEL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18.1. Terminación del contrato.-</w:t>
      </w:r>
      <w:r>
        <w:rPr>
          <w:rFonts w:ascii="Arial" w:hAnsi="Arial" w:eastAsia="Times New Roman" w:cs="Arial"/>
          <w:spacing w:val="-2"/>
          <w:sz w:val="20"/>
          <w:szCs w:val="20"/>
          <w:lang w:eastAsia="hi-IN" w:bidi="hi-IN"/>
        </w:rPr>
        <w:t>El contrato termina conforme lo previsto en el artículo 92 de la Ley Orgánica del Sistema Nacional de Contratación Pública y los causales establecidos en el presente Contrato.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0"/>
          <w:tab w:val="left" w:pos="735"/>
          <w:tab w:val="left" w:pos="1881"/>
          <w:tab w:val="left" w:pos="7720"/>
        </w:tabs>
        <w:suppressAutoHyphens/>
        <w:spacing w:after="0" w:line="240" w:lineRule="auto"/>
        <w:jc w:val="both"/>
        <w:rPr>
          <w:rFonts w:ascii="Arial" w:hAnsi="Arial" w:eastAsia="Times New Roman" w:cs="Arial"/>
          <w:spacing w:val="-3"/>
          <w:sz w:val="20"/>
          <w:szCs w:val="20"/>
          <w:lang w:eastAsia="hi-IN" w:bidi="hi-IN"/>
        </w:rPr>
      </w:pPr>
      <w:r>
        <w:rPr>
          <w:rFonts w:ascii="Arial" w:hAnsi="Arial" w:eastAsia="Times New Roman" w:cs="Arial"/>
          <w:b/>
          <w:sz w:val="20"/>
          <w:szCs w:val="20"/>
          <w:lang w:eastAsia="hi-IN" w:bidi="hi-IN"/>
        </w:rPr>
        <w:t>18.2. Causales de Terminación unilateral del contrato.-</w:t>
      </w:r>
      <w:r>
        <w:rPr>
          <w:rFonts w:ascii="Arial" w:hAnsi="Arial" w:eastAsia="Times New Roman" w:cs="Arial"/>
          <w:sz w:val="20"/>
          <w:szCs w:val="20"/>
          <w:lang w:eastAsia="hi-IN" w:bidi="hi-IN"/>
        </w:rPr>
        <w:t>Tratándose de incumplimiento del CONTRATISTA, procederá la</w:t>
      </w:r>
      <w:r>
        <w:rPr>
          <w:rFonts w:ascii="Arial" w:hAnsi="Arial" w:eastAsia="Times New Roman" w:cs="Arial"/>
          <w:spacing w:val="-2"/>
          <w:sz w:val="20"/>
          <w:szCs w:val="20"/>
          <w:lang w:eastAsia="hi-IN" w:bidi="hi-IN"/>
        </w:rPr>
        <w:t xml:space="preserve"> declaración anticipada y unilateral de la CONTRATANTE, en los casos establecidos en el artículo 94 de la LOSNCP</w:t>
      </w:r>
      <w:r>
        <w:rPr>
          <w:rFonts w:ascii="Arial" w:hAnsi="Arial" w:eastAsia="Times New Roman" w:cs="Arial"/>
          <w:spacing w:val="-3"/>
          <w:sz w:val="20"/>
          <w:szCs w:val="20"/>
          <w:lang w:eastAsia="hi-IN" w:bidi="hi-IN"/>
        </w:rPr>
        <w:t>. Además, se considerarán las siguientes causales:</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tabs>
          <w:tab w:val="left" w:pos="0"/>
          <w:tab w:val="left" w:pos="1881"/>
          <w:tab w:val="left" w:pos="7720"/>
        </w:tabs>
        <w:suppressAutoHyphens/>
        <w:spacing w:after="0" w:line="240" w:lineRule="auto"/>
        <w:jc w:val="both"/>
        <w:rPr>
          <w:rFonts w:ascii="Arial" w:hAnsi="Arial" w:eastAsia="Times New Roman" w:cs="Arial"/>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En caso de que la entidad contratante encontrare que existe inconsistencia, simulación y/o inexactitud en la información presentada por el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pPr>
        <w:suppressAutoHyphens/>
        <w:spacing w:after="0" w:line="240" w:lineRule="auto"/>
        <w:ind w:left="720"/>
        <w:rPr>
          <w:rFonts w:ascii="Arial" w:hAnsi="Arial" w:eastAsia="Times New Roman" w:cs="Arial"/>
          <w:spacing w:val="-2"/>
          <w:sz w:val="20"/>
          <w:szCs w:val="20"/>
          <w:lang w:eastAsia="hi-IN" w:bidi="hi-IN"/>
        </w:rPr>
      </w:pPr>
    </w:p>
    <w:p>
      <w:pPr>
        <w:numPr>
          <w:ilvl w:val="1"/>
          <w:numId w:val="21"/>
        </w:numPr>
        <w:tabs>
          <w:tab w:val="left" w:pos="0"/>
          <w:tab w:val="left" w:pos="1881"/>
          <w:tab w:val="left" w:pos="7720"/>
        </w:tabs>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Si las multas exceden el monto de la garantía de fiel cumplimiento del contrato, la entidad podrá declarar la terminación anticipada y unilateral del contrato previo el trámite de ley; y, en caso de no darse, las multas se mantendrán mientras dure el incumplimiento.</w:t>
      </w:r>
    </w:p>
    <w:p>
      <w:pPr>
        <w:tabs>
          <w:tab w:val="left" w:pos="-540"/>
        </w:tabs>
        <w:suppressAutoHyphens/>
        <w:spacing w:after="0" w:line="240" w:lineRule="auto"/>
        <w:ind w:left="15" w:right="45"/>
        <w:jc w:val="both"/>
        <w:rPr>
          <w:rFonts w:ascii="Arial" w:hAnsi="Arial" w:eastAsia="Times New Roman" w:cs="Arial"/>
          <w:b/>
          <w:spacing w:val="-3"/>
          <w:sz w:val="20"/>
          <w:szCs w:val="20"/>
          <w:lang w:eastAsia="hi-IN" w:bidi="hi-IN"/>
        </w:rPr>
      </w:pPr>
    </w:p>
    <w:p>
      <w:pPr>
        <w:tabs>
          <w:tab w:val="left" w:pos="-540"/>
        </w:tabs>
        <w:suppressAutoHyphens/>
        <w:spacing w:after="0" w:line="240" w:lineRule="auto"/>
        <w:ind w:left="15" w:right="45"/>
        <w:jc w:val="both"/>
        <w:rPr>
          <w:rFonts w:ascii="Arial" w:hAnsi="Arial" w:eastAsia="Times New Roman" w:cs="Arial"/>
          <w:spacing w:val="-3"/>
          <w:sz w:val="20"/>
          <w:szCs w:val="20"/>
          <w:lang w:eastAsia="hi-IN" w:bidi="hi-IN"/>
        </w:rPr>
      </w:pPr>
      <w:r>
        <w:rPr>
          <w:rFonts w:ascii="Arial" w:hAnsi="Arial" w:eastAsia="Times New Roman" w:cs="Arial"/>
          <w:b/>
          <w:spacing w:val="-3"/>
          <w:sz w:val="20"/>
          <w:szCs w:val="20"/>
          <w:lang w:eastAsia="hi-IN" w:bidi="hi-IN"/>
        </w:rPr>
        <w:t>18.3. Procedimiento de terminación unilateral.-</w:t>
      </w:r>
      <w:r>
        <w:rPr>
          <w:rFonts w:ascii="Arial" w:hAnsi="Arial" w:eastAsia="Times New Roman" w:cs="Arial"/>
          <w:spacing w:val="-3"/>
          <w:sz w:val="20"/>
          <w:szCs w:val="20"/>
          <w:lang w:eastAsia="hi-IN" w:bidi="hi-IN"/>
        </w:rPr>
        <w:t>El procedimiento a seguirse para la terminación unilateral del contrato será el previsto en el artículo 95 de la LOSNCP.</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bCs/>
          <w:sz w:val="20"/>
          <w:szCs w:val="20"/>
          <w:lang w:eastAsia="hi-IN" w:bidi="hi-IN"/>
        </w:rPr>
      </w:pPr>
      <w:r>
        <w:rPr>
          <w:rFonts w:ascii="Arial" w:hAnsi="Arial" w:eastAsia="Times New Roman" w:cs="Arial"/>
          <w:b/>
          <w:spacing w:val="-2"/>
          <w:sz w:val="20"/>
          <w:szCs w:val="20"/>
          <w:lang w:eastAsia="hi-IN" w:bidi="hi-IN"/>
        </w:rPr>
        <w:t xml:space="preserve">Cláusula Décima Novena.- </w:t>
      </w:r>
      <w:r>
        <w:rPr>
          <w:rFonts w:ascii="Arial" w:hAnsi="Arial" w:eastAsia="Times New Roman" w:cs="Arial"/>
          <w:b/>
          <w:bCs/>
          <w:sz w:val="20"/>
          <w:szCs w:val="20"/>
          <w:lang w:eastAsia="hi-IN" w:bidi="hi-IN"/>
        </w:rPr>
        <w:t>SOLUCIÓN DE CONTROVERSIAS</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 xml:space="preserve">19.1. </w:t>
      </w:r>
      <w:r>
        <w:rPr>
          <w:rFonts w:ascii="Arial" w:hAnsi="Arial" w:eastAsia="Times New Roman" w:cs="Arial"/>
          <w:sz w:val="20"/>
          <w:szCs w:val="20"/>
          <w:lang w:eastAsia="hi-IN" w:bidi="hi-IN"/>
        </w:rPr>
        <w:t>Si respecto de la divergencia o controversia existentes no se lograre un acuerdo directo entre  las partes, éstas se someterán al Centro de Mediación y Arbitraje de la Procuraduría General del Estado, sin perjuicio de lo establecido en el Código General de Procesos COGEP; siendo competente para conocer la controversia el Tribunal Distrital de lo Contencioso Administrativo que ejerce jurisdicción en el domicilio de la Entidad Contratante.</w:t>
      </w:r>
    </w:p>
    <w:p>
      <w:pPr>
        <w:suppressAutoHyphens/>
        <w:spacing w:after="0" w:line="240" w:lineRule="auto"/>
        <w:jc w:val="both"/>
        <w:rPr>
          <w:rFonts w:ascii="Arial" w:hAnsi="Arial" w:eastAsia="Times New Roman" w:cs="Arial"/>
          <w:sz w:val="20"/>
          <w:szCs w:val="20"/>
          <w:lang w:eastAsia="hi-IN" w:bidi="hi-IN"/>
        </w:rPr>
      </w:pPr>
    </w:p>
    <w:p>
      <w:pPr>
        <w:suppressAutoHyphens/>
        <w:spacing w:after="0" w:line="240" w:lineRule="auto"/>
        <w:jc w:val="both"/>
        <w:rPr>
          <w:rFonts w:ascii="Arial" w:hAnsi="Arial" w:eastAsia="Times New Roman" w:cs="Arial"/>
          <w:sz w:val="20"/>
          <w:szCs w:val="20"/>
          <w:lang w:eastAsia="hi-IN" w:bidi="hi-IN"/>
        </w:rPr>
      </w:pPr>
      <w:r>
        <w:rPr>
          <w:rFonts w:ascii="Arial" w:hAnsi="Arial" w:eastAsia="Times New Roman" w:cs="Arial"/>
          <w:b/>
          <w:sz w:val="20"/>
          <w:szCs w:val="20"/>
          <w:lang w:eastAsia="hi-IN" w:bidi="hi-IN"/>
        </w:rPr>
        <w:t>19.2.</w:t>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La legislación aplicable a este contrato es la ecuatoriana. En consecuencia, el contratista declara conocer el ordenamiento jurídico ecuatoriano y por lo tanto, se entiende incorporado el mismo en todo lo que sea aplicable al presente contrato.</w:t>
      </w:r>
    </w:p>
    <w:p>
      <w:pPr>
        <w:tabs>
          <w:tab w:val="left" w:pos="714"/>
        </w:tabs>
        <w:suppressAutoHyphens/>
        <w:spacing w:after="0" w:line="240" w:lineRule="auto"/>
        <w:jc w:val="both"/>
        <w:rPr>
          <w:rFonts w:ascii="Arial" w:hAnsi="Arial" w:eastAsia="Times New Roman" w:cs="Arial"/>
          <w:b/>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COMUNICACIONES ENTRE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20.1. </w:t>
      </w:r>
      <w:r>
        <w:rPr>
          <w:rFonts w:ascii="Arial" w:hAnsi="Arial" w:eastAsia="Times New Roman" w:cs="Arial"/>
          <w:spacing w:val="-2"/>
          <w:sz w:val="20"/>
          <w:szCs w:val="20"/>
          <w:lang w:eastAsia="hi-IN" w:bidi="hi-IN"/>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DOMICILIO</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w:t>
      </w:r>
      <w:r>
        <w:rPr>
          <w:rFonts w:ascii="Arial" w:hAnsi="Arial" w:eastAsia="Times New Roman" w:cs="Arial"/>
          <w:spacing w:val="-2"/>
          <w:sz w:val="20"/>
          <w:szCs w:val="20"/>
          <w:lang w:eastAsia="hi-IN" w:bidi="hi-IN"/>
        </w:rPr>
        <w:t>Para todos los efectos de este contrato, las partes convienen en señalar su domicilio en la ciudad de Cuenca.</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21.2.</w:t>
      </w:r>
      <w:r>
        <w:rPr>
          <w:rFonts w:ascii="Arial" w:hAnsi="Arial" w:eastAsia="Times New Roman" w:cs="Arial"/>
          <w:spacing w:val="-2"/>
          <w:sz w:val="20"/>
          <w:szCs w:val="20"/>
          <w:lang w:eastAsia="hi-IN" w:bidi="hi-IN"/>
        </w:rPr>
        <w:t xml:space="preserve"> Para efectos de comunicación o notificaciones, las partes señalan como su dirección, las siguientes:</w:t>
      </w: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La CONTRATANTE: Dirección: Remigio Tamariz entre Alfonso Borrero y Remigio Romero (Edificio “González”), y Teléfonos: 4097823 / 4091890 / 2888927 / 2888981.</w:t>
      </w:r>
    </w:p>
    <w:p>
      <w:pPr>
        <w:tabs>
          <w:tab w:val="left" w:pos="-540"/>
        </w:tabs>
        <w:suppressAutoHyphens/>
        <w:spacing w:before="240"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spacing w:val="-2"/>
          <w:sz w:val="20"/>
          <w:szCs w:val="20"/>
          <w:lang w:eastAsia="hi-IN" w:bidi="hi-IN"/>
        </w:rPr>
        <w:t>El CONTRATISTA</w:t>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Dirección: ________________</w:t>
      </w:r>
      <w:r>
        <w:rPr>
          <w:rFonts w:ascii="Arial" w:hAnsi="Arial" w:eastAsia="Times New Roman" w:cs="Arial"/>
          <w:b/>
          <w:bCs/>
          <w:spacing w:val="-2"/>
          <w:kern w:val="32"/>
          <w:sz w:val="16"/>
          <w:szCs w:val="20"/>
          <w:lang w:val="es-ES" w:bidi="hi-IN"/>
        </w:rPr>
        <w:fldChar w:fldCharType="begin"/>
      </w:r>
      <w:r>
        <w:rPr>
          <w:rFonts w:ascii="Arial" w:hAnsi="Arial" w:eastAsia="Times New Roman" w:cs="Arial"/>
          <w:b/>
          <w:bCs/>
          <w:spacing w:val="-2"/>
          <w:kern w:val="32"/>
          <w:sz w:val="16"/>
          <w:szCs w:val="20"/>
          <w:lang w:val="es-ES" w:bidi="hi-IN"/>
        </w:rPr>
        <w:instrText xml:space="preserve"> MERGEFIELD DIRECCION </w:instrText>
      </w:r>
      <w:r>
        <w:rPr>
          <w:rFonts w:ascii="Arial" w:hAnsi="Arial" w:eastAsia="Times New Roman" w:cs="Arial"/>
          <w:b/>
          <w:bCs/>
          <w:spacing w:val="-2"/>
          <w:kern w:val="32"/>
          <w:sz w:val="16"/>
          <w:szCs w:val="20"/>
          <w:lang w:val="es-ES" w:bidi="hi-IN"/>
        </w:rPr>
        <w:fldChar w:fldCharType="end"/>
      </w:r>
    </w:p>
    <w:p>
      <w:pPr>
        <w:tabs>
          <w:tab w:val="left" w:pos="-540"/>
        </w:tabs>
        <w:suppressAutoHyphens/>
        <w:spacing w:after="0" w:line="240" w:lineRule="auto"/>
        <w:ind w:left="15" w:right="45"/>
        <w:jc w:val="both"/>
        <w:rPr>
          <w:rFonts w:ascii="Arial" w:hAnsi="Arial" w:eastAsia="Times New Roman" w:cs="Arial"/>
          <w:b/>
          <w:bCs/>
          <w:spacing w:val="-2"/>
          <w:kern w:val="32"/>
          <w:sz w:val="16"/>
          <w:szCs w:val="20"/>
          <w:lang w:val="es-ES" w:bidi="hi-IN"/>
        </w:rPr>
      </w:pPr>
      <w:r>
        <w:rPr>
          <w:rFonts w:ascii="Arial" w:hAnsi="Arial" w:eastAsia="Times New Roman" w:cs="Arial"/>
          <w:spacing w:val="-2"/>
          <w:sz w:val="20"/>
          <w:szCs w:val="20"/>
          <w:lang w:eastAsia="hi-IN" w:bidi="hi-IN"/>
        </w:rPr>
        <w:t>Teléfonos: __________________</w:t>
      </w:r>
    </w:p>
    <w:p>
      <w:pPr>
        <w:tabs>
          <w:tab w:val="left" w:pos="-540"/>
        </w:tabs>
        <w:suppressAutoHyphens/>
        <w:spacing w:after="0" w:line="240" w:lineRule="auto"/>
        <w:ind w:left="15" w:right="45"/>
        <w:jc w:val="both"/>
        <w:rPr>
          <w:rFonts w:ascii="Arial" w:hAnsi="Arial" w:eastAsia="Times New Roman" w:cs="Arial"/>
          <w:sz w:val="20"/>
          <w:szCs w:val="20"/>
          <w:lang w:eastAsia="hi-IN" w:bidi="hi-IN"/>
        </w:rPr>
      </w:pPr>
      <w:r>
        <w:rPr>
          <w:rFonts w:ascii="Arial" w:hAnsi="Arial" w:eastAsia="Times New Roman" w:cs="Arial"/>
          <w:spacing w:val="-2"/>
          <w:sz w:val="20"/>
          <w:szCs w:val="20"/>
          <w:lang w:eastAsia="hi-IN" w:bidi="hi-IN"/>
        </w:rPr>
        <w:t xml:space="preserve">Correo electrónico: </w:t>
      </w:r>
      <w:r>
        <w:rPr>
          <w:rFonts w:ascii="Arial" w:hAnsi="Arial" w:eastAsia="Times New Roman" w:cs="Arial"/>
          <w:b/>
          <w:bCs/>
          <w:spacing w:val="-2"/>
          <w:kern w:val="32"/>
          <w:sz w:val="20"/>
          <w:szCs w:val="20"/>
          <w:lang w:val="es-ES" w:bidi="hi-IN"/>
        </w:rPr>
        <w:t>___________________</w:t>
      </w:r>
    </w:p>
    <w:p>
      <w:pPr>
        <w:suppressAutoHyphens/>
        <w:spacing w:before="240" w:after="0" w:line="240" w:lineRule="auto"/>
        <w:ind w:left="15" w:right="45"/>
        <w:jc w:val="both"/>
        <w:rPr>
          <w:rFonts w:ascii="Arial" w:hAnsi="Arial" w:eastAsia="Times New Roman" w:cs="Arial"/>
          <w:sz w:val="20"/>
          <w:szCs w:val="20"/>
          <w:lang w:eastAsia="hi-IN" w:bidi="hi-IN"/>
        </w:rPr>
      </w:pPr>
      <w:r>
        <w:rPr>
          <w:rFonts w:ascii="Arial" w:hAnsi="Arial" w:eastAsia="Times New Roman" w:cs="Arial"/>
          <w:sz w:val="20"/>
          <w:szCs w:val="20"/>
          <w:lang w:eastAsia="hi-IN" w:bidi="hi-IN"/>
        </w:rPr>
        <w:t>Las comunicaciones también podrán efectuarse a través de medios electrónicos.</w:t>
      </w:r>
    </w:p>
    <w:p>
      <w:pPr>
        <w:suppressAutoHyphens/>
        <w:spacing w:after="0" w:line="240" w:lineRule="auto"/>
        <w:ind w:left="15" w:right="45"/>
        <w:rPr>
          <w:rFonts w:ascii="Arial" w:hAnsi="Arial" w:eastAsia="Times New Roman" w:cs="Arial"/>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r>
        <w:rPr>
          <w:rFonts w:ascii="Arial" w:hAnsi="Arial" w:eastAsia="Times New Roman" w:cs="Arial"/>
          <w:b/>
          <w:spacing w:val="-2"/>
          <w:sz w:val="20"/>
          <w:szCs w:val="20"/>
          <w:lang w:eastAsia="hi-IN" w:bidi="hi-IN"/>
        </w:rPr>
        <w:t>Cláusula Vigésima Primera.- ACEPTACION DE LAS PARTES</w:t>
      </w:r>
    </w:p>
    <w:p>
      <w:pPr>
        <w:tabs>
          <w:tab w:val="left" w:pos="-540"/>
        </w:tabs>
        <w:suppressAutoHyphens/>
        <w:spacing w:after="0" w:line="240" w:lineRule="auto"/>
        <w:ind w:left="15" w:right="45"/>
        <w:jc w:val="both"/>
        <w:rPr>
          <w:rFonts w:ascii="Arial" w:hAnsi="Arial" w:eastAsia="Times New Roman" w:cs="Arial"/>
          <w:b/>
          <w:spacing w:val="-2"/>
          <w:sz w:val="20"/>
          <w:szCs w:val="20"/>
          <w:lang w:eastAsia="hi-IN" w:bidi="hi-IN"/>
        </w:rPr>
      </w:pPr>
    </w:p>
    <w:p>
      <w:pPr>
        <w:suppressAutoHyphens/>
        <w:spacing w:after="0" w:line="240" w:lineRule="auto"/>
        <w:jc w:val="both"/>
        <w:rPr>
          <w:rFonts w:ascii="Arial" w:hAnsi="Arial" w:eastAsia="Times New Roman" w:cs="Arial"/>
          <w:spacing w:val="-2"/>
          <w:sz w:val="20"/>
          <w:szCs w:val="20"/>
          <w:lang w:eastAsia="hi-IN" w:bidi="hi-IN"/>
        </w:rPr>
      </w:pPr>
      <w:r>
        <w:rPr>
          <w:rFonts w:ascii="Arial" w:hAnsi="Arial" w:eastAsia="Times New Roman" w:cs="Arial"/>
          <w:b/>
          <w:spacing w:val="-2"/>
          <w:sz w:val="20"/>
          <w:szCs w:val="20"/>
          <w:lang w:eastAsia="hi-IN" w:bidi="hi-IN"/>
        </w:rPr>
        <w:t xml:space="preserve">21.1. Declaración.- </w:t>
      </w:r>
      <w:r>
        <w:rPr>
          <w:rFonts w:ascii="Arial" w:hAnsi="Arial" w:eastAsia="Times New Roman" w:cs="Arial"/>
          <w:spacing w:val="-2"/>
          <w:sz w:val="20"/>
          <w:szCs w:val="20"/>
          <w:lang w:eastAsia="hi-IN" w:bidi="hi-IN"/>
        </w:rPr>
        <w:t xml:space="preserve">Las partes libre, voluntaria y expresamente declaran que conocen y aceptan el texto íntegro del Contrato de Ejecución de Obras, las Especificaciones Técnicas y las </w:t>
      </w:r>
      <w:r>
        <w:rPr>
          <w:rFonts w:ascii="Arial" w:hAnsi="Arial" w:eastAsia="Times New Roman" w:cs="Arial"/>
          <w:sz w:val="20"/>
          <w:szCs w:val="20"/>
          <w:lang w:eastAsia="ar-SA" w:bidi="hi-IN"/>
        </w:rPr>
        <w:t>CONDICIONES GENERALES PARA LA CONTRATACIÓN DE EJECUCION DE OBRAS CUYO PRESUPUESTO REFERENCIAL SEA HASTA $2,000,000.00 ENMARCADAS BAJO FINANCIAMIENTO DE LA CAF</w:t>
      </w:r>
      <w:r>
        <w:rPr>
          <w:rFonts w:ascii="Arial" w:hAnsi="Arial" w:eastAsia="Times New Roman" w:cs="Arial"/>
          <w:spacing w:val="-2"/>
          <w:sz w:val="20"/>
          <w:szCs w:val="20"/>
          <w:lang w:eastAsia="hi-IN" w:bidi="hi-IN"/>
        </w:rPr>
        <w:t xml:space="preserve">; vigentes a la fecha de la Convocatoria del procedimiento de contratación, y que forma parte integrante del Contrato que lo están suscribiendo. </w:t>
      </w:r>
    </w:p>
    <w:p>
      <w:pPr>
        <w:tabs>
          <w:tab w:val="left" w:pos="-540"/>
        </w:tabs>
        <w:suppressAutoHyphens/>
        <w:spacing w:after="0" w:line="240" w:lineRule="auto"/>
        <w:ind w:left="15" w:right="45"/>
        <w:jc w:val="both"/>
        <w:rPr>
          <w:rFonts w:ascii="Arial" w:hAnsi="Arial" w:eastAsia="Times New Roman" w:cs="Arial"/>
          <w:spacing w:val="-2"/>
          <w:sz w:val="20"/>
          <w:szCs w:val="20"/>
          <w:lang w:eastAsia="hi-IN" w:bidi="hi-IN"/>
        </w:rPr>
      </w:pPr>
    </w:p>
    <w:p>
      <w:pPr>
        <w:tabs>
          <w:tab w:val="left" w:pos="1584"/>
        </w:tabs>
        <w:suppressAutoHyphens/>
        <w:spacing w:after="0" w:line="240" w:lineRule="auto"/>
        <w:ind w:left="15" w:right="45"/>
        <w:jc w:val="both"/>
        <w:rPr>
          <w:rFonts w:ascii="Arial" w:hAnsi="Arial" w:eastAsia="Times New Roman" w:cs="Arial"/>
          <w:spacing w:val="-2"/>
          <w:sz w:val="20"/>
          <w:szCs w:val="20"/>
          <w:lang w:eastAsia="hi-IN" w:bidi="hi-IN"/>
        </w:rPr>
      </w:pPr>
      <w:r>
        <w:rPr>
          <w:rFonts w:ascii="Arial" w:hAnsi="Arial" w:eastAsia="Times New Roman" w:cs="Arial"/>
          <w:b/>
          <w:spacing w:val="-3"/>
          <w:sz w:val="20"/>
          <w:szCs w:val="20"/>
          <w:lang w:eastAsia="hi-IN" w:bidi="hi-IN"/>
        </w:rPr>
        <w:t xml:space="preserve">21.2. </w:t>
      </w:r>
      <w:r>
        <w:rPr>
          <w:rFonts w:ascii="Arial" w:hAnsi="Arial" w:eastAsia="Times New Roman" w:cs="Arial"/>
          <w:spacing w:val="-3"/>
          <w:sz w:val="20"/>
          <w:szCs w:val="20"/>
          <w:lang w:eastAsia="hi-IN" w:bidi="hi-IN"/>
        </w:rPr>
        <w:t>Libre y voluntariamente, las partes expresamente declaran su aceptación a todo lo convenido en el presente contrato y se someten a sus estipulaciones.</w:t>
      </w: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p>
    <w:p>
      <w:pPr>
        <w:widowControl w:val="0"/>
        <w:tabs>
          <w:tab w:val="left" w:pos="0"/>
          <w:tab w:val="left" w:pos="1044"/>
        </w:tabs>
        <w:suppressAutoHyphens/>
        <w:spacing w:beforeAutospacing="1" w:after="0" w:line="240" w:lineRule="auto"/>
        <w:ind w:left="15" w:right="45"/>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___________________________</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_____________________________</w:t>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spacing w:val="-3"/>
          <w:sz w:val="20"/>
          <w:szCs w:val="20"/>
          <w:lang w:eastAsia="hi-IN" w:bidi="hi-IN"/>
        </w:rPr>
        <w:t xml:space="preserve"> I</w:t>
      </w:r>
      <w:r>
        <w:rPr>
          <w:rFonts w:ascii="Arial" w:hAnsi="Arial" w:eastAsia="Times New Roman" w:cs="Arial"/>
          <w:spacing w:val="-3"/>
          <w:sz w:val="20"/>
          <w:szCs w:val="20"/>
          <w:lang w:val="es-EC" w:eastAsia="hi-IN" w:bidi="hi-IN"/>
        </w:rPr>
        <w:t xml:space="preserve">                                              </w:t>
      </w:r>
      <w:r>
        <w:rPr>
          <w:rFonts w:ascii="Arial" w:hAnsi="Arial" w:eastAsia="Times New Roman" w:cs="Arial"/>
          <w:sz w:val="20"/>
          <w:szCs w:val="20"/>
          <w:lang w:val="es-ES" w:bidi="hi-IN"/>
        </w:rPr>
        <w:tab/>
      </w:r>
      <w:r>
        <w:rPr>
          <w:rFonts w:ascii="Arial" w:hAnsi="Arial" w:eastAsia="Times New Roman" w:cs="Arial"/>
          <w:sz w:val="20"/>
          <w:szCs w:val="20"/>
          <w:lang w:eastAsia="hi-IN" w:bidi="hi-IN"/>
        </w:rPr>
        <w:tab/>
      </w:r>
      <w:r>
        <w:rPr>
          <w:rFonts w:ascii="Arial" w:hAnsi="Arial" w:eastAsia="Times New Roman" w:cs="Arial"/>
          <w:sz w:val="20"/>
          <w:szCs w:val="20"/>
          <w:lang w:eastAsia="hi-IN" w:bidi="hi-IN"/>
        </w:rPr>
        <w:t xml:space="preserve">                          Ing. </w:t>
      </w:r>
      <w:r>
        <w:rPr>
          <w:rFonts w:ascii="Arial" w:hAnsi="Arial" w:eastAsia="Times New Roman" w:cs="Arial"/>
          <w:bCs/>
          <w:spacing w:val="-2"/>
          <w:kern w:val="32"/>
          <w:sz w:val="20"/>
          <w:szCs w:val="20"/>
          <w:lang w:val="es-ES" w:bidi="hi-IN"/>
        </w:rPr>
        <w:fldChar w:fldCharType="begin"/>
      </w:r>
      <w:r>
        <w:rPr>
          <w:rFonts w:ascii="Arial" w:hAnsi="Arial" w:eastAsia="Times New Roman" w:cs="Arial"/>
          <w:bCs/>
          <w:spacing w:val="-2"/>
          <w:kern w:val="32"/>
          <w:sz w:val="20"/>
          <w:szCs w:val="20"/>
          <w:lang w:val="es-ES" w:bidi="hi-IN"/>
        </w:rPr>
        <w:instrText xml:space="preserve"> MERGEFIELD NOMBRE_CONTRATISTA </w:instrText>
      </w:r>
      <w:r>
        <w:rPr>
          <w:rFonts w:ascii="Arial" w:hAnsi="Arial" w:eastAsia="Times New Roman" w:cs="Arial"/>
          <w:bCs/>
          <w:spacing w:val="-2"/>
          <w:kern w:val="32"/>
          <w:sz w:val="20"/>
          <w:szCs w:val="20"/>
          <w:lang w:val="es-ES" w:bidi="hi-IN"/>
        </w:rPr>
        <w:fldChar w:fldCharType="separate"/>
      </w:r>
      <w:r>
        <w:rPr>
          <w:rFonts w:ascii="Arial" w:hAnsi="Arial" w:eastAsia="Times New Roman" w:cs="Arial"/>
          <w:bCs/>
          <w:spacing w:val="-2"/>
          <w:kern w:val="32"/>
          <w:sz w:val="20"/>
          <w:szCs w:val="20"/>
          <w:lang w:val="es-ES" w:bidi="hi-IN"/>
        </w:rPr>
        <w:t>«NOMBRE_CONTRATISTA»</w:t>
      </w:r>
      <w:r>
        <w:rPr>
          <w:rFonts w:ascii="Arial" w:hAnsi="Arial" w:eastAsia="Times New Roman" w:cs="Arial"/>
          <w:bCs/>
          <w:spacing w:val="-2"/>
          <w:kern w:val="32"/>
          <w:sz w:val="20"/>
          <w:szCs w:val="20"/>
          <w:lang w:val="es-ES" w:bidi="hi-IN"/>
        </w:rPr>
        <w:fldChar w:fldCharType="end"/>
      </w:r>
    </w:p>
    <w:p>
      <w:pPr>
        <w:widowControl w:val="0"/>
        <w:tabs>
          <w:tab w:val="left" w:pos="0"/>
          <w:tab w:val="left" w:pos="1044"/>
        </w:tabs>
        <w:suppressAutoHyphens/>
        <w:spacing w:before="100" w:beforeAutospacing="1" w:after="0" w:line="240" w:lineRule="auto"/>
        <w:ind w:left="17" w:right="45"/>
        <w:contextualSpacing/>
        <w:jc w:val="both"/>
        <w:outlineLvl w:val="3"/>
        <w:rPr>
          <w:rFonts w:ascii="Arial" w:hAnsi="Arial" w:eastAsia="Times New Roman" w:cs="Arial"/>
          <w:b/>
          <w:bCs/>
          <w:sz w:val="20"/>
          <w:szCs w:val="20"/>
          <w:lang w:bidi="hi-IN"/>
        </w:rPr>
      </w:pPr>
      <w:r>
        <w:rPr>
          <w:rFonts w:ascii="Arial" w:hAnsi="Arial" w:eastAsia="Times New Roman" w:cs="Arial"/>
          <w:b/>
          <w:bCs/>
          <w:sz w:val="20"/>
          <w:szCs w:val="20"/>
          <w:lang w:bidi="hi-IN"/>
        </w:rPr>
        <w:t xml:space="preserve">          ALCADE DE CUENCA</w:t>
      </w:r>
      <w:r>
        <w:rPr>
          <w:rFonts w:ascii="Arial" w:hAnsi="Arial" w:eastAsia="Times New Roman" w:cs="Arial"/>
          <w:b/>
          <w:bCs/>
          <w:sz w:val="20"/>
          <w:szCs w:val="20"/>
          <w:lang w:bidi="hi-IN"/>
        </w:rPr>
        <w:tab/>
      </w:r>
      <w:r>
        <w:rPr>
          <w:rFonts w:ascii="Arial" w:hAnsi="Arial" w:eastAsia="Times New Roman" w:cs="Arial"/>
          <w:b/>
          <w:bCs/>
          <w:sz w:val="20"/>
          <w:szCs w:val="20"/>
          <w:lang w:bidi="hi-IN"/>
        </w:rPr>
        <w:tab/>
      </w:r>
      <w:r>
        <w:rPr>
          <w:rFonts w:ascii="Arial" w:hAnsi="Arial" w:eastAsia="Times New Roman" w:cs="Arial"/>
          <w:b/>
          <w:bCs/>
          <w:sz w:val="20"/>
          <w:szCs w:val="20"/>
          <w:lang w:bidi="hi-IN"/>
        </w:rPr>
        <w:t xml:space="preserve">                                     EL CONTRATISTA</w:t>
      </w:r>
    </w:p>
    <w:sectPr>
      <w:headerReference r:id="rId3" w:type="default"/>
      <w:footerReference r:id="rId4" w:type="default"/>
      <w:pgSz w:w="12240" w:h="15840"/>
      <w:pgMar w:top="1951" w:right="1467" w:bottom="851" w:left="1418" w:header="426" w:footer="26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angal">
    <w:altName w:val="Courier New"/>
    <w:panose1 w:val="00000400000000000000"/>
    <w:charset w:val="01"/>
    <w:family w:val="roman"/>
    <w:pitch w:val="default"/>
    <w:sig w:usb0="00000000" w:usb1="00000000" w:usb2="00000000" w:usb3="00000000" w:csb0="00000000" w:csb1="00000000"/>
  </w:font>
  <w:font w:name="Flat Brush">
    <w:altName w:val="Courier New"/>
    <w:panose1 w:val="00000000000000000000"/>
    <w:charset w:val="00"/>
    <w:family w:val="auto"/>
    <w:pitch w:val="default"/>
    <w:sig w:usb0="00000000" w:usb1="00000000" w:usb2="00000000" w:usb3="00000000" w:csb0="00000000" w:csb1="00000000"/>
  </w:font>
  <w:font w:name="Dolphin">
    <w:altName w:val="Arial Narrow"/>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panose1 w:val="020B0604020202020204"/>
    <w:charset w:val="80"/>
    <w:family w:val="swiss"/>
    <w:pitch w:val="default"/>
    <w:sig w:usb0="FFFFFFFF" w:usb1="E9FFFFFF"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OpenSymbol">
    <w:altName w:val="Arnprior"/>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nprior">
    <w:panose1 w:val="02000400000000000000"/>
    <w:charset w:val="00"/>
    <w:family w:val="auto"/>
    <w:pitch w:val="default"/>
    <w:sig w:usb0="800000A7" w:usb1="0000004A" w:usb2="00000000" w:usb3="00000000" w:csb0="20000011"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0" w:usb3="00000000" w:csb0="00000001"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1011409"/>
    </w:sdtPr>
    <w:sdtEndPr>
      <w:rPr>
        <w:sz w:val="22"/>
      </w:rPr>
    </w:sdtEndPr>
    <w:sdtContent>
      <w:p>
        <w:pPr>
          <w:pStyle w:val="30"/>
          <w:tabs>
            <w:tab w:val="left" w:pos="2535"/>
            <w:tab w:val="right" w:pos="9355"/>
          </w:tabs>
          <w:rPr>
            <w:sz w:val="22"/>
          </w:rPr>
        </w:pPr>
        <w:r>
          <w:tab/>
        </w:r>
        <w:r>
          <w:tab/>
        </w:r>
        <w:r>
          <w:tab/>
        </w:r>
        <w:r>
          <w:tab/>
        </w:r>
        <w:r>
          <w:rPr>
            <w:sz w:val="22"/>
          </w:rPr>
          <w:fldChar w:fldCharType="begin"/>
        </w:r>
        <w:r>
          <w:rPr>
            <w:sz w:val="22"/>
          </w:rPr>
          <w:instrText xml:space="preserve">PAGE   \* MERGEFORMAT</w:instrText>
        </w:r>
        <w:r>
          <w:rPr>
            <w:sz w:val="22"/>
          </w:rPr>
          <w:fldChar w:fldCharType="separate"/>
        </w:r>
        <w:r>
          <w:rPr>
            <w:sz w:val="22"/>
            <w:lang w:val="es-ES"/>
          </w:rPr>
          <w:t>3</w:t>
        </w:r>
        <w:r>
          <w:rPr>
            <w:sz w:val="22"/>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2520"/>
        <w:tab w:val="clear" w:pos="4419"/>
        <w:tab w:val="clear" w:pos="8838"/>
      </w:tabs>
      <w:rPr>
        <w:lang w:eastAsia="es-EC" w:bidi="ar-SA"/>
      </w:rPr>
    </w:pPr>
    <w:r>
      <w:rPr>
        <w:lang w:eastAsia="es-EC" w:bidi="ar-SA"/>
      </w:rPr>
      <w:drawing>
        <wp:anchor distT="0" distB="0" distL="114300" distR="114300" simplePos="0" relativeHeight="251659264" behindDoc="0" locked="0" layoutInCell="1" allowOverlap="1">
          <wp:simplePos x="0" y="0"/>
          <wp:positionH relativeFrom="column">
            <wp:posOffset>3870325</wp:posOffset>
          </wp:positionH>
          <wp:positionV relativeFrom="paragraph">
            <wp:posOffset>-62865</wp:posOffset>
          </wp:positionV>
          <wp:extent cx="1864995" cy="633730"/>
          <wp:effectExtent l="0" t="0" r="1905"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64995" cy="633730"/>
                  </a:xfrm>
                  <a:prstGeom prst="rect">
                    <a:avLst/>
                  </a:prstGeom>
                  <a:noFill/>
                  <a:ln>
                    <a:noFill/>
                  </a:ln>
                </pic:spPr>
              </pic:pic>
            </a:graphicData>
          </a:graphic>
        </wp:anchor>
      </w:drawing>
    </w:r>
    <w:r>
      <w:rPr>
        <w:lang w:eastAsia="es-EC" w:bidi="ar-SA"/>
      </w:rPr>
      <w:drawing>
        <wp:inline distT="0" distB="0" distL="0" distR="0">
          <wp:extent cx="2066925" cy="628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628650"/>
                  </a:xfrm>
                  <a:prstGeom prst="rect">
                    <a:avLst/>
                  </a:prstGeom>
                  <a:noFill/>
                  <a:ln>
                    <a:noFill/>
                  </a:ln>
                </pic:spPr>
              </pic:pic>
            </a:graphicData>
          </a:graphic>
        </wp:inline>
      </w:drawing>
    </w:r>
  </w:p>
  <w:p>
    <w:pPr>
      <w:pStyle w:val="22"/>
      <w:tabs>
        <w:tab w:val="left" w:pos="2520"/>
        <w:tab w:val="clear" w:pos="4419"/>
        <w:tab w:val="clear" w:pos="8838"/>
      </w:tabs>
      <w:jc w:val="center"/>
      <w:rPr>
        <w:lang w:eastAsia="es-EC" w:bidi="ar-SA"/>
      </w:rPr>
    </w:pPr>
    <w:r>
      <w:rPr>
        <w:lang w:eastAsia="es-EC" w:bidi="ar-SA"/>
      </w:rPr>
      <w:tab/>
    </w:r>
    <w:r>
      <w:rPr>
        <w:lang w:eastAsia="es-EC" w:bidi="ar-SA"/>
      </w:rPr>
      <w:tab/>
    </w:r>
    <w:r>
      <w:rPr>
        <w:lang w:eastAsia="es-EC" w:bidi="ar-SA"/>
      </w:rPr>
      <w:tab/>
    </w:r>
    <w:r>
      <w:rPr>
        <w:lang w:eastAsia="es-EC" w:bidi="ar-SA"/>
      </w:rPr>
      <w:tab/>
    </w:r>
    <w:r>
      <w:rPr>
        <w:lang w:eastAsia="es-EC" w:bidi="ar-SA"/>
      </w:rPr>
      <w:tab/>
    </w:r>
  </w:p>
  <w:p>
    <w:pPr>
      <w:pStyle w:val="22"/>
      <w:tabs>
        <w:tab w:val="left" w:pos="2520"/>
        <w:tab w:val="clear" w:pos="4419"/>
        <w:tab w:val="clear" w:pos="8838"/>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28"/>
      <w:lvlText w:val=""/>
      <w:lvlJc w:val="left"/>
      <w:pPr>
        <w:tabs>
          <w:tab w:val="left" w:pos="643"/>
        </w:tabs>
        <w:ind w:left="643" w:hanging="360"/>
      </w:pPr>
      <w:rPr>
        <w:rFonts w:hint="default" w:ascii="Symbol" w:hAnsi="Symbol"/>
      </w:rPr>
    </w:lvl>
  </w:abstractNum>
  <w:abstractNum w:abstractNumId="1">
    <w:nsid w:val="00000022"/>
    <w:multiLevelType w:val="multilevel"/>
    <w:tmpl w:val="00000022"/>
    <w:lvl w:ilvl="0" w:tentative="0">
      <w:start w:val="1"/>
      <w:numFmt w:val="decimal"/>
      <w:lvlText w:val="%1."/>
      <w:lvlJc w:val="left"/>
      <w:pPr>
        <w:tabs>
          <w:tab w:val="left" w:pos="735"/>
        </w:tabs>
        <w:ind w:left="735" w:hanging="360"/>
      </w:pPr>
    </w:lvl>
    <w:lvl w:ilvl="1" w:tentative="0">
      <w:start w:val="1"/>
      <w:numFmt w:val="lowerLetter"/>
      <w:lvlText w:val="%2)"/>
      <w:lvlJc w:val="left"/>
      <w:pPr>
        <w:tabs>
          <w:tab w:val="left" w:pos="1095"/>
        </w:tabs>
        <w:ind w:left="1095" w:hanging="360"/>
      </w:pPr>
      <w:rPr>
        <w:b/>
      </w:rPr>
    </w:lvl>
    <w:lvl w:ilvl="2" w:tentative="0">
      <w:start w:val="1"/>
      <w:numFmt w:val="decimal"/>
      <w:lvlText w:val="%3."/>
      <w:lvlJc w:val="left"/>
      <w:pPr>
        <w:tabs>
          <w:tab w:val="left" w:pos="1455"/>
        </w:tabs>
        <w:ind w:left="1455" w:hanging="360"/>
      </w:pPr>
    </w:lvl>
    <w:lvl w:ilvl="3" w:tentative="0">
      <w:start w:val="1"/>
      <w:numFmt w:val="decimal"/>
      <w:lvlText w:val="%4."/>
      <w:lvlJc w:val="left"/>
      <w:pPr>
        <w:tabs>
          <w:tab w:val="left" w:pos="1815"/>
        </w:tabs>
        <w:ind w:left="1815" w:hanging="360"/>
      </w:pPr>
    </w:lvl>
    <w:lvl w:ilvl="4" w:tentative="0">
      <w:start w:val="1"/>
      <w:numFmt w:val="decimal"/>
      <w:lvlText w:val="%5."/>
      <w:lvlJc w:val="left"/>
      <w:pPr>
        <w:tabs>
          <w:tab w:val="left" w:pos="2175"/>
        </w:tabs>
        <w:ind w:left="2175" w:hanging="360"/>
      </w:pPr>
    </w:lvl>
    <w:lvl w:ilvl="5" w:tentative="0">
      <w:start w:val="1"/>
      <w:numFmt w:val="decimal"/>
      <w:lvlText w:val="%6."/>
      <w:lvlJc w:val="left"/>
      <w:pPr>
        <w:tabs>
          <w:tab w:val="left" w:pos="2535"/>
        </w:tabs>
        <w:ind w:left="2535" w:hanging="360"/>
      </w:pPr>
    </w:lvl>
    <w:lvl w:ilvl="6" w:tentative="0">
      <w:start w:val="1"/>
      <w:numFmt w:val="decimal"/>
      <w:lvlText w:val="%7."/>
      <w:lvlJc w:val="left"/>
      <w:pPr>
        <w:tabs>
          <w:tab w:val="left" w:pos="2895"/>
        </w:tabs>
        <w:ind w:left="2895" w:hanging="360"/>
      </w:pPr>
    </w:lvl>
    <w:lvl w:ilvl="7" w:tentative="0">
      <w:start w:val="1"/>
      <w:numFmt w:val="decimal"/>
      <w:lvlText w:val="%8."/>
      <w:lvlJc w:val="left"/>
      <w:pPr>
        <w:tabs>
          <w:tab w:val="left" w:pos="3255"/>
        </w:tabs>
        <w:ind w:left="3255" w:hanging="360"/>
      </w:pPr>
    </w:lvl>
    <w:lvl w:ilvl="8" w:tentative="0">
      <w:start w:val="1"/>
      <w:numFmt w:val="decimal"/>
      <w:lvlText w:val="%9."/>
      <w:lvlJc w:val="left"/>
      <w:pPr>
        <w:tabs>
          <w:tab w:val="left" w:pos="3615"/>
        </w:tabs>
        <w:ind w:left="3615" w:hanging="360"/>
      </w:pPr>
    </w:lvl>
  </w:abstractNum>
  <w:abstractNum w:abstractNumId="2">
    <w:nsid w:val="00000023"/>
    <w:multiLevelType w:val="multilevel"/>
    <w:tmpl w:val="00000023"/>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15215299"/>
    <w:multiLevelType w:val="multilevel"/>
    <w:tmpl w:val="1521529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7075CE"/>
    <w:multiLevelType w:val="multilevel"/>
    <w:tmpl w:val="167075CE"/>
    <w:lvl w:ilvl="0" w:tentative="0">
      <w:start w:val="3"/>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7E6BF3"/>
    <w:multiLevelType w:val="multilevel"/>
    <w:tmpl w:val="1B7E6BF3"/>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DB2774"/>
    <w:multiLevelType w:val="multilevel"/>
    <w:tmpl w:val="24DB2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D9116B"/>
    <w:multiLevelType w:val="multilevel"/>
    <w:tmpl w:val="26D91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A959CE"/>
    <w:multiLevelType w:val="multilevel"/>
    <w:tmpl w:val="31A959C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EA713E"/>
    <w:multiLevelType w:val="multilevel"/>
    <w:tmpl w:val="45EA713E"/>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6766CF9"/>
    <w:multiLevelType w:val="multilevel"/>
    <w:tmpl w:val="46766CF9"/>
    <w:lvl w:ilvl="0" w:tentative="0">
      <w:start w:val="1"/>
      <w:numFmt w:val="lowerLetter"/>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4CCF5934"/>
    <w:multiLevelType w:val="multilevel"/>
    <w:tmpl w:val="4CCF5934"/>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FC45EE8"/>
    <w:multiLevelType w:val="multilevel"/>
    <w:tmpl w:val="4FC45EE8"/>
    <w:lvl w:ilvl="0" w:tentative="0">
      <w:start w:val="6"/>
      <w:numFmt w:val="decimal"/>
      <w:lvlText w:val="%1"/>
      <w:lvlJc w:val="left"/>
      <w:pPr>
        <w:ind w:left="435" w:hanging="435"/>
      </w:pPr>
      <w:rPr>
        <w:rFonts w:hint="default"/>
        <w:color w:val="auto"/>
      </w:rPr>
    </w:lvl>
    <w:lvl w:ilvl="1" w:tentative="0">
      <w:start w:val="1"/>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3">
    <w:nsid w:val="5008053A"/>
    <w:multiLevelType w:val="multilevel"/>
    <w:tmpl w:val="5008053A"/>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4E52B0"/>
    <w:multiLevelType w:val="multilevel"/>
    <w:tmpl w:val="514E52B0"/>
    <w:lvl w:ilvl="0" w:tentative="0">
      <w:start w:val="1"/>
      <w:numFmt w:val="lowerLetter"/>
      <w:lvlText w:val="%1)"/>
      <w:lvlJc w:val="left"/>
      <w:pPr>
        <w:ind w:left="720" w:hanging="360"/>
      </w:pPr>
      <w:rPr>
        <w:rFonts w:hint="default"/>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037402"/>
    <w:multiLevelType w:val="multilevel"/>
    <w:tmpl w:val="5A0374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2B24AF"/>
    <w:multiLevelType w:val="multilevel"/>
    <w:tmpl w:val="632B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0069"/>
    <w:multiLevelType w:val="multilevel"/>
    <w:tmpl w:val="6D07006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8A1099"/>
    <w:multiLevelType w:val="multilevel"/>
    <w:tmpl w:val="748A1099"/>
    <w:lvl w:ilvl="0" w:tentative="0">
      <w:start w:val="1"/>
      <w:numFmt w:val="bullet"/>
      <w:lvlText w:val=""/>
      <w:lvlJc w:val="left"/>
      <w:pPr>
        <w:ind w:left="735" w:hanging="360"/>
      </w:pPr>
      <w:rPr>
        <w:rFonts w:hint="default" w:ascii="Symbol" w:hAnsi="Symbol"/>
      </w:rPr>
    </w:lvl>
    <w:lvl w:ilvl="1" w:tentative="0">
      <w:start w:val="1"/>
      <w:numFmt w:val="bullet"/>
      <w:lvlText w:val="o"/>
      <w:lvlJc w:val="left"/>
      <w:pPr>
        <w:ind w:left="1455" w:hanging="360"/>
      </w:pPr>
      <w:rPr>
        <w:rFonts w:hint="default" w:ascii="Courier New" w:hAnsi="Courier New" w:cs="Courier New"/>
      </w:rPr>
    </w:lvl>
    <w:lvl w:ilvl="2" w:tentative="0">
      <w:start w:val="1"/>
      <w:numFmt w:val="bullet"/>
      <w:lvlText w:val=""/>
      <w:lvlJc w:val="left"/>
      <w:pPr>
        <w:ind w:left="2175" w:hanging="360"/>
      </w:pPr>
      <w:rPr>
        <w:rFonts w:hint="default" w:ascii="Wingdings" w:hAnsi="Wingdings"/>
      </w:rPr>
    </w:lvl>
    <w:lvl w:ilvl="3" w:tentative="0">
      <w:start w:val="1"/>
      <w:numFmt w:val="bullet"/>
      <w:lvlText w:val=""/>
      <w:lvlJc w:val="left"/>
      <w:pPr>
        <w:ind w:left="2895" w:hanging="360"/>
      </w:pPr>
      <w:rPr>
        <w:rFonts w:hint="default" w:ascii="Symbol" w:hAnsi="Symbol"/>
      </w:rPr>
    </w:lvl>
    <w:lvl w:ilvl="4" w:tentative="0">
      <w:start w:val="1"/>
      <w:numFmt w:val="bullet"/>
      <w:lvlText w:val="o"/>
      <w:lvlJc w:val="left"/>
      <w:pPr>
        <w:ind w:left="3615" w:hanging="360"/>
      </w:pPr>
      <w:rPr>
        <w:rFonts w:hint="default" w:ascii="Courier New" w:hAnsi="Courier New" w:cs="Courier New"/>
      </w:rPr>
    </w:lvl>
    <w:lvl w:ilvl="5" w:tentative="0">
      <w:start w:val="1"/>
      <w:numFmt w:val="bullet"/>
      <w:lvlText w:val=""/>
      <w:lvlJc w:val="left"/>
      <w:pPr>
        <w:ind w:left="4335" w:hanging="360"/>
      </w:pPr>
      <w:rPr>
        <w:rFonts w:hint="default" w:ascii="Wingdings" w:hAnsi="Wingdings"/>
      </w:rPr>
    </w:lvl>
    <w:lvl w:ilvl="6" w:tentative="0">
      <w:start w:val="1"/>
      <w:numFmt w:val="bullet"/>
      <w:lvlText w:val=""/>
      <w:lvlJc w:val="left"/>
      <w:pPr>
        <w:ind w:left="5055" w:hanging="360"/>
      </w:pPr>
      <w:rPr>
        <w:rFonts w:hint="default" w:ascii="Symbol" w:hAnsi="Symbol"/>
      </w:rPr>
    </w:lvl>
    <w:lvl w:ilvl="7" w:tentative="0">
      <w:start w:val="1"/>
      <w:numFmt w:val="bullet"/>
      <w:lvlText w:val="o"/>
      <w:lvlJc w:val="left"/>
      <w:pPr>
        <w:ind w:left="5775" w:hanging="360"/>
      </w:pPr>
      <w:rPr>
        <w:rFonts w:hint="default" w:ascii="Courier New" w:hAnsi="Courier New" w:cs="Courier New"/>
      </w:rPr>
    </w:lvl>
    <w:lvl w:ilvl="8" w:tentative="0">
      <w:start w:val="1"/>
      <w:numFmt w:val="bullet"/>
      <w:lvlText w:val=""/>
      <w:lvlJc w:val="left"/>
      <w:pPr>
        <w:ind w:left="6495" w:hanging="360"/>
      </w:pPr>
      <w:rPr>
        <w:rFonts w:hint="default" w:ascii="Wingdings" w:hAnsi="Wingdings"/>
      </w:rPr>
    </w:lvl>
  </w:abstractNum>
  <w:abstractNum w:abstractNumId="19">
    <w:nsid w:val="7509215A"/>
    <w:multiLevelType w:val="multilevel"/>
    <w:tmpl w:val="75092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C19FD"/>
    <w:multiLevelType w:val="multilevel"/>
    <w:tmpl w:val="7BCC19FD"/>
    <w:lvl w:ilvl="0" w:tentative="0">
      <w:start w:val="1"/>
      <w:numFmt w:val="lowerLetter"/>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7"/>
  </w:num>
  <w:num w:numId="3">
    <w:abstractNumId w:val="5"/>
  </w:num>
  <w:num w:numId="4">
    <w:abstractNumId w:val="9"/>
  </w:num>
  <w:num w:numId="5">
    <w:abstractNumId w:val="8"/>
  </w:num>
  <w:num w:numId="6">
    <w:abstractNumId w:val="4"/>
  </w:num>
  <w:num w:numId="7">
    <w:abstractNumId w:val="20"/>
  </w:num>
  <w:num w:numId="8">
    <w:abstractNumId w:val="13"/>
  </w:num>
  <w:num w:numId="9">
    <w:abstractNumId w:val="11"/>
  </w:num>
  <w:num w:numId="10">
    <w:abstractNumId w:val="14"/>
  </w:num>
  <w:num w:numId="11">
    <w:abstractNumId w:val="19"/>
  </w:num>
  <w:num w:numId="12">
    <w:abstractNumId w:val="7"/>
  </w:num>
  <w:num w:numId="13">
    <w:abstractNumId w:val="6"/>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12"/>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A"/>
    <w:rsid w:val="000009FD"/>
    <w:rsid w:val="00000C32"/>
    <w:rsid w:val="00000FBF"/>
    <w:rsid w:val="00000FE8"/>
    <w:rsid w:val="00002371"/>
    <w:rsid w:val="00002438"/>
    <w:rsid w:val="00002872"/>
    <w:rsid w:val="00002AB3"/>
    <w:rsid w:val="00002BB3"/>
    <w:rsid w:val="0000312C"/>
    <w:rsid w:val="00003BFA"/>
    <w:rsid w:val="00003D2C"/>
    <w:rsid w:val="000043D8"/>
    <w:rsid w:val="000045E8"/>
    <w:rsid w:val="000050D0"/>
    <w:rsid w:val="0000577C"/>
    <w:rsid w:val="00005BCB"/>
    <w:rsid w:val="00005DDD"/>
    <w:rsid w:val="00006590"/>
    <w:rsid w:val="00006604"/>
    <w:rsid w:val="00006738"/>
    <w:rsid w:val="000069F2"/>
    <w:rsid w:val="000076BD"/>
    <w:rsid w:val="000077FB"/>
    <w:rsid w:val="00007A18"/>
    <w:rsid w:val="0001012E"/>
    <w:rsid w:val="000101FF"/>
    <w:rsid w:val="00010385"/>
    <w:rsid w:val="000104BF"/>
    <w:rsid w:val="00010FDB"/>
    <w:rsid w:val="00011244"/>
    <w:rsid w:val="00012ADD"/>
    <w:rsid w:val="00012DAF"/>
    <w:rsid w:val="00013C21"/>
    <w:rsid w:val="000140E1"/>
    <w:rsid w:val="0001417F"/>
    <w:rsid w:val="000146E5"/>
    <w:rsid w:val="00015330"/>
    <w:rsid w:val="00015499"/>
    <w:rsid w:val="000156E3"/>
    <w:rsid w:val="00015768"/>
    <w:rsid w:val="00015EF5"/>
    <w:rsid w:val="00016337"/>
    <w:rsid w:val="00016605"/>
    <w:rsid w:val="0001694C"/>
    <w:rsid w:val="00016ADB"/>
    <w:rsid w:val="0001717B"/>
    <w:rsid w:val="00017320"/>
    <w:rsid w:val="00017490"/>
    <w:rsid w:val="00020568"/>
    <w:rsid w:val="00020936"/>
    <w:rsid w:val="00020CDB"/>
    <w:rsid w:val="00021572"/>
    <w:rsid w:val="00021611"/>
    <w:rsid w:val="00021EB3"/>
    <w:rsid w:val="00021EE2"/>
    <w:rsid w:val="000231A9"/>
    <w:rsid w:val="00023268"/>
    <w:rsid w:val="00023293"/>
    <w:rsid w:val="00024889"/>
    <w:rsid w:val="00024ADB"/>
    <w:rsid w:val="00024D09"/>
    <w:rsid w:val="00025202"/>
    <w:rsid w:val="000254CF"/>
    <w:rsid w:val="0002551E"/>
    <w:rsid w:val="000260A7"/>
    <w:rsid w:val="0002612E"/>
    <w:rsid w:val="00026211"/>
    <w:rsid w:val="00026AB3"/>
    <w:rsid w:val="00026ADF"/>
    <w:rsid w:val="00026B0C"/>
    <w:rsid w:val="00026F56"/>
    <w:rsid w:val="00027362"/>
    <w:rsid w:val="000276DB"/>
    <w:rsid w:val="000277E3"/>
    <w:rsid w:val="00027AF6"/>
    <w:rsid w:val="00027F09"/>
    <w:rsid w:val="0003052D"/>
    <w:rsid w:val="00030570"/>
    <w:rsid w:val="000308BC"/>
    <w:rsid w:val="00030FEE"/>
    <w:rsid w:val="0003144D"/>
    <w:rsid w:val="00031C2A"/>
    <w:rsid w:val="00031FFD"/>
    <w:rsid w:val="00032559"/>
    <w:rsid w:val="000331E6"/>
    <w:rsid w:val="00033FE7"/>
    <w:rsid w:val="000341DC"/>
    <w:rsid w:val="00034B93"/>
    <w:rsid w:val="000358C5"/>
    <w:rsid w:val="00035BFF"/>
    <w:rsid w:val="000368D9"/>
    <w:rsid w:val="0003726A"/>
    <w:rsid w:val="000372E7"/>
    <w:rsid w:val="00037345"/>
    <w:rsid w:val="00037588"/>
    <w:rsid w:val="000378CA"/>
    <w:rsid w:val="00037A0A"/>
    <w:rsid w:val="00037CAA"/>
    <w:rsid w:val="00037DEC"/>
    <w:rsid w:val="0004095C"/>
    <w:rsid w:val="00040B22"/>
    <w:rsid w:val="00040BD3"/>
    <w:rsid w:val="00040C19"/>
    <w:rsid w:val="000410F4"/>
    <w:rsid w:val="000419E5"/>
    <w:rsid w:val="00041A0E"/>
    <w:rsid w:val="00042139"/>
    <w:rsid w:val="00042443"/>
    <w:rsid w:val="00042A0C"/>
    <w:rsid w:val="00043231"/>
    <w:rsid w:val="00043521"/>
    <w:rsid w:val="00043AD2"/>
    <w:rsid w:val="00043AD3"/>
    <w:rsid w:val="000443AD"/>
    <w:rsid w:val="00044830"/>
    <w:rsid w:val="00044C67"/>
    <w:rsid w:val="000450C1"/>
    <w:rsid w:val="000452DA"/>
    <w:rsid w:val="00045C92"/>
    <w:rsid w:val="00046050"/>
    <w:rsid w:val="00046BCE"/>
    <w:rsid w:val="00046F35"/>
    <w:rsid w:val="00047017"/>
    <w:rsid w:val="000470ED"/>
    <w:rsid w:val="00047253"/>
    <w:rsid w:val="00047940"/>
    <w:rsid w:val="00047B4C"/>
    <w:rsid w:val="000501D1"/>
    <w:rsid w:val="00050FB1"/>
    <w:rsid w:val="000511A6"/>
    <w:rsid w:val="0005195B"/>
    <w:rsid w:val="00051B5F"/>
    <w:rsid w:val="00052165"/>
    <w:rsid w:val="000521D8"/>
    <w:rsid w:val="00052475"/>
    <w:rsid w:val="000527E5"/>
    <w:rsid w:val="0005306C"/>
    <w:rsid w:val="000534BF"/>
    <w:rsid w:val="00053756"/>
    <w:rsid w:val="00053C40"/>
    <w:rsid w:val="00053DE7"/>
    <w:rsid w:val="0005413F"/>
    <w:rsid w:val="000543A3"/>
    <w:rsid w:val="0005470E"/>
    <w:rsid w:val="000547A9"/>
    <w:rsid w:val="000554B8"/>
    <w:rsid w:val="0005560F"/>
    <w:rsid w:val="0005587D"/>
    <w:rsid w:val="00055CFC"/>
    <w:rsid w:val="00055F22"/>
    <w:rsid w:val="00056805"/>
    <w:rsid w:val="00056A0C"/>
    <w:rsid w:val="00056AFE"/>
    <w:rsid w:val="00056CEE"/>
    <w:rsid w:val="000570B7"/>
    <w:rsid w:val="00057874"/>
    <w:rsid w:val="000578C3"/>
    <w:rsid w:val="00057F3E"/>
    <w:rsid w:val="00057FBB"/>
    <w:rsid w:val="00060115"/>
    <w:rsid w:val="00060CCA"/>
    <w:rsid w:val="00060DF0"/>
    <w:rsid w:val="00060F63"/>
    <w:rsid w:val="00061435"/>
    <w:rsid w:val="00061A40"/>
    <w:rsid w:val="00061DAC"/>
    <w:rsid w:val="0006214F"/>
    <w:rsid w:val="000623D7"/>
    <w:rsid w:val="0006297A"/>
    <w:rsid w:val="00063364"/>
    <w:rsid w:val="000637E6"/>
    <w:rsid w:val="0006485E"/>
    <w:rsid w:val="000650A2"/>
    <w:rsid w:val="000656D1"/>
    <w:rsid w:val="00065CD5"/>
    <w:rsid w:val="00065D6B"/>
    <w:rsid w:val="0006600C"/>
    <w:rsid w:val="0006602A"/>
    <w:rsid w:val="00066148"/>
    <w:rsid w:val="00066462"/>
    <w:rsid w:val="00067473"/>
    <w:rsid w:val="00067FB1"/>
    <w:rsid w:val="0007005E"/>
    <w:rsid w:val="0007010C"/>
    <w:rsid w:val="00070150"/>
    <w:rsid w:val="000711BD"/>
    <w:rsid w:val="000712C1"/>
    <w:rsid w:val="00071994"/>
    <w:rsid w:val="00071E1E"/>
    <w:rsid w:val="00071F54"/>
    <w:rsid w:val="000720A5"/>
    <w:rsid w:val="00072467"/>
    <w:rsid w:val="000727EC"/>
    <w:rsid w:val="00072ACE"/>
    <w:rsid w:val="00072C64"/>
    <w:rsid w:val="00072CB7"/>
    <w:rsid w:val="00072F7D"/>
    <w:rsid w:val="00073034"/>
    <w:rsid w:val="0007311A"/>
    <w:rsid w:val="00073372"/>
    <w:rsid w:val="00073CB9"/>
    <w:rsid w:val="00073D0E"/>
    <w:rsid w:val="00074725"/>
    <w:rsid w:val="00074BE6"/>
    <w:rsid w:val="00075227"/>
    <w:rsid w:val="00075238"/>
    <w:rsid w:val="000753C9"/>
    <w:rsid w:val="0007588C"/>
    <w:rsid w:val="00075B41"/>
    <w:rsid w:val="000760E3"/>
    <w:rsid w:val="000768D7"/>
    <w:rsid w:val="00077829"/>
    <w:rsid w:val="00077DA7"/>
    <w:rsid w:val="00077ED0"/>
    <w:rsid w:val="00077F9E"/>
    <w:rsid w:val="00080B9E"/>
    <w:rsid w:val="00080D0E"/>
    <w:rsid w:val="0008116A"/>
    <w:rsid w:val="00081D14"/>
    <w:rsid w:val="00081D49"/>
    <w:rsid w:val="00082413"/>
    <w:rsid w:val="0008272B"/>
    <w:rsid w:val="00082F26"/>
    <w:rsid w:val="00083581"/>
    <w:rsid w:val="000837BF"/>
    <w:rsid w:val="000837CB"/>
    <w:rsid w:val="000838C2"/>
    <w:rsid w:val="00083AF8"/>
    <w:rsid w:val="00083E52"/>
    <w:rsid w:val="00083EDF"/>
    <w:rsid w:val="000844C6"/>
    <w:rsid w:val="000847C6"/>
    <w:rsid w:val="0008481E"/>
    <w:rsid w:val="000849F3"/>
    <w:rsid w:val="00084D03"/>
    <w:rsid w:val="00084E19"/>
    <w:rsid w:val="0008508F"/>
    <w:rsid w:val="000855CB"/>
    <w:rsid w:val="00085DDC"/>
    <w:rsid w:val="0008698F"/>
    <w:rsid w:val="000869A7"/>
    <w:rsid w:val="00087189"/>
    <w:rsid w:val="000871DF"/>
    <w:rsid w:val="000874D6"/>
    <w:rsid w:val="00087710"/>
    <w:rsid w:val="0008776B"/>
    <w:rsid w:val="00087F3A"/>
    <w:rsid w:val="00087F74"/>
    <w:rsid w:val="00087FBF"/>
    <w:rsid w:val="000901F1"/>
    <w:rsid w:val="00090C5D"/>
    <w:rsid w:val="00091BE2"/>
    <w:rsid w:val="00092513"/>
    <w:rsid w:val="00094825"/>
    <w:rsid w:val="00094BAE"/>
    <w:rsid w:val="0009540C"/>
    <w:rsid w:val="0009583C"/>
    <w:rsid w:val="00095B58"/>
    <w:rsid w:val="00095CC0"/>
    <w:rsid w:val="0009674E"/>
    <w:rsid w:val="000968B1"/>
    <w:rsid w:val="00096F7B"/>
    <w:rsid w:val="0009714E"/>
    <w:rsid w:val="00097489"/>
    <w:rsid w:val="000975CC"/>
    <w:rsid w:val="00097969"/>
    <w:rsid w:val="00097AE4"/>
    <w:rsid w:val="00097AEA"/>
    <w:rsid w:val="00097DD3"/>
    <w:rsid w:val="000A015F"/>
    <w:rsid w:val="000A07E6"/>
    <w:rsid w:val="000A1597"/>
    <w:rsid w:val="000A1B7D"/>
    <w:rsid w:val="000A1CE7"/>
    <w:rsid w:val="000A1CFB"/>
    <w:rsid w:val="000A20C5"/>
    <w:rsid w:val="000A244F"/>
    <w:rsid w:val="000A25BB"/>
    <w:rsid w:val="000A2DD8"/>
    <w:rsid w:val="000A3757"/>
    <w:rsid w:val="000A38DC"/>
    <w:rsid w:val="000A3979"/>
    <w:rsid w:val="000A3C60"/>
    <w:rsid w:val="000A3D19"/>
    <w:rsid w:val="000A3E32"/>
    <w:rsid w:val="000A4B52"/>
    <w:rsid w:val="000A5480"/>
    <w:rsid w:val="000A5566"/>
    <w:rsid w:val="000A567B"/>
    <w:rsid w:val="000A576E"/>
    <w:rsid w:val="000A5B3C"/>
    <w:rsid w:val="000A5D7E"/>
    <w:rsid w:val="000A6080"/>
    <w:rsid w:val="000A626D"/>
    <w:rsid w:val="000A6A08"/>
    <w:rsid w:val="000A73DB"/>
    <w:rsid w:val="000A7B69"/>
    <w:rsid w:val="000A7DCD"/>
    <w:rsid w:val="000B08B3"/>
    <w:rsid w:val="000B12B2"/>
    <w:rsid w:val="000B1597"/>
    <w:rsid w:val="000B15F2"/>
    <w:rsid w:val="000B1A76"/>
    <w:rsid w:val="000B1F90"/>
    <w:rsid w:val="000B250E"/>
    <w:rsid w:val="000B2B68"/>
    <w:rsid w:val="000B2D6A"/>
    <w:rsid w:val="000B32BC"/>
    <w:rsid w:val="000B3E3A"/>
    <w:rsid w:val="000B4084"/>
    <w:rsid w:val="000B43D0"/>
    <w:rsid w:val="000B65D1"/>
    <w:rsid w:val="000B69BE"/>
    <w:rsid w:val="000B6AA7"/>
    <w:rsid w:val="000B6AB1"/>
    <w:rsid w:val="000B7031"/>
    <w:rsid w:val="000B705C"/>
    <w:rsid w:val="000B70F7"/>
    <w:rsid w:val="000C0730"/>
    <w:rsid w:val="000C08E6"/>
    <w:rsid w:val="000C0FA1"/>
    <w:rsid w:val="000C1216"/>
    <w:rsid w:val="000C1277"/>
    <w:rsid w:val="000C1427"/>
    <w:rsid w:val="000C15F6"/>
    <w:rsid w:val="000C18FF"/>
    <w:rsid w:val="000C19EF"/>
    <w:rsid w:val="000C1C75"/>
    <w:rsid w:val="000C20A5"/>
    <w:rsid w:val="000C2809"/>
    <w:rsid w:val="000C2936"/>
    <w:rsid w:val="000C2D40"/>
    <w:rsid w:val="000C2E58"/>
    <w:rsid w:val="000C31B8"/>
    <w:rsid w:val="000C3389"/>
    <w:rsid w:val="000C3A4C"/>
    <w:rsid w:val="000C3DFB"/>
    <w:rsid w:val="000C4216"/>
    <w:rsid w:val="000C42E8"/>
    <w:rsid w:val="000C4B23"/>
    <w:rsid w:val="000C4D7C"/>
    <w:rsid w:val="000C5105"/>
    <w:rsid w:val="000C5BB8"/>
    <w:rsid w:val="000C5F62"/>
    <w:rsid w:val="000C6145"/>
    <w:rsid w:val="000C626F"/>
    <w:rsid w:val="000C675D"/>
    <w:rsid w:val="000C714D"/>
    <w:rsid w:val="000C728C"/>
    <w:rsid w:val="000C736E"/>
    <w:rsid w:val="000C76FA"/>
    <w:rsid w:val="000C7B74"/>
    <w:rsid w:val="000C7E20"/>
    <w:rsid w:val="000C7FA2"/>
    <w:rsid w:val="000D0327"/>
    <w:rsid w:val="000D0529"/>
    <w:rsid w:val="000D05C0"/>
    <w:rsid w:val="000D0B65"/>
    <w:rsid w:val="000D0EAE"/>
    <w:rsid w:val="000D0EF5"/>
    <w:rsid w:val="000D15CA"/>
    <w:rsid w:val="000D1787"/>
    <w:rsid w:val="000D19EE"/>
    <w:rsid w:val="000D1CFB"/>
    <w:rsid w:val="000D1E15"/>
    <w:rsid w:val="000D2153"/>
    <w:rsid w:val="000D228C"/>
    <w:rsid w:val="000D2461"/>
    <w:rsid w:val="000D2876"/>
    <w:rsid w:val="000D2AF7"/>
    <w:rsid w:val="000D2BB1"/>
    <w:rsid w:val="000D2C96"/>
    <w:rsid w:val="000D2D4E"/>
    <w:rsid w:val="000D35E3"/>
    <w:rsid w:val="000D3601"/>
    <w:rsid w:val="000D3B71"/>
    <w:rsid w:val="000D3E21"/>
    <w:rsid w:val="000D452F"/>
    <w:rsid w:val="000D5151"/>
    <w:rsid w:val="000D51AC"/>
    <w:rsid w:val="000D541F"/>
    <w:rsid w:val="000D5493"/>
    <w:rsid w:val="000D5D09"/>
    <w:rsid w:val="000D5F7B"/>
    <w:rsid w:val="000D63E5"/>
    <w:rsid w:val="000D6405"/>
    <w:rsid w:val="000D6D5C"/>
    <w:rsid w:val="000D7045"/>
    <w:rsid w:val="000D75DB"/>
    <w:rsid w:val="000D7B14"/>
    <w:rsid w:val="000D7BC4"/>
    <w:rsid w:val="000D7DBD"/>
    <w:rsid w:val="000E005C"/>
    <w:rsid w:val="000E0272"/>
    <w:rsid w:val="000E0812"/>
    <w:rsid w:val="000E0B95"/>
    <w:rsid w:val="000E0D35"/>
    <w:rsid w:val="000E11E5"/>
    <w:rsid w:val="000E160A"/>
    <w:rsid w:val="000E194A"/>
    <w:rsid w:val="000E19A5"/>
    <w:rsid w:val="000E2099"/>
    <w:rsid w:val="000E254F"/>
    <w:rsid w:val="000E269D"/>
    <w:rsid w:val="000E2735"/>
    <w:rsid w:val="000E2952"/>
    <w:rsid w:val="000E2B58"/>
    <w:rsid w:val="000E2CD1"/>
    <w:rsid w:val="000E3823"/>
    <w:rsid w:val="000E3D8C"/>
    <w:rsid w:val="000E4684"/>
    <w:rsid w:val="000E4932"/>
    <w:rsid w:val="000E5844"/>
    <w:rsid w:val="000E5994"/>
    <w:rsid w:val="000E5D12"/>
    <w:rsid w:val="000E5E04"/>
    <w:rsid w:val="000E63B2"/>
    <w:rsid w:val="000E640E"/>
    <w:rsid w:val="000E6C56"/>
    <w:rsid w:val="000E7115"/>
    <w:rsid w:val="000E7736"/>
    <w:rsid w:val="000E7790"/>
    <w:rsid w:val="000E7A8F"/>
    <w:rsid w:val="000E7F6F"/>
    <w:rsid w:val="000F000B"/>
    <w:rsid w:val="000F0162"/>
    <w:rsid w:val="000F01E1"/>
    <w:rsid w:val="000F0254"/>
    <w:rsid w:val="000F0787"/>
    <w:rsid w:val="000F090A"/>
    <w:rsid w:val="000F142A"/>
    <w:rsid w:val="000F1815"/>
    <w:rsid w:val="000F26EE"/>
    <w:rsid w:val="000F2AD1"/>
    <w:rsid w:val="000F2D0C"/>
    <w:rsid w:val="000F2F4C"/>
    <w:rsid w:val="000F3BB3"/>
    <w:rsid w:val="000F3BC4"/>
    <w:rsid w:val="000F3CB6"/>
    <w:rsid w:val="000F3DCA"/>
    <w:rsid w:val="000F41AA"/>
    <w:rsid w:val="000F4744"/>
    <w:rsid w:val="000F4745"/>
    <w:rsid w:val="000F4BAD"/>
    <w:rsid w:val="000F4BC5"/>
    <w:rsid w:val="000F5EE9"/>
    <w:rsid w:val="000F60C2"/>
    <w:rsid w:val="000F6385"/>
    <w:rsid w:val="000F6464"/>
    <w:rsid w:val="000F6638"/>
    <w:rsid w:val="000F6A2D"/>
    <w:rsid w:val="000F6AD8"/>
    <w:rsid w:val="000F6F51"/>
    <w:rsid w:val="000F710E"/>
    <w:rsid w:val="000F78C6"/>
    <w:rsid w:val="00100635"/>
    <w:rsid w:val="0010069B"/>
    <w:rsid w:val="00100EE8"/>
    <w:rsid w:val="00101447"/>
    <w:rsid w:val="00101507"/>
    <w:rsid w:val="00101D37"/>
    <w:rsid w:val="00101F5C"/>
    <w:rsid w:val="00102907"/>
    <w:rsid w:val="00102A57"/>
    <w:rsid w:val="001034E7"/>
    <w:rsid w:val="0010363D"/>
    <w:rsid w:val="001042BC"/>
    <w:rsid w:val="001048F8"/>
    <w:rsid w:val="00104A07"/>
    <w:rsid w:val="001051DE"/>
    <w:rsid w:val="00105574"/>
    <w:rsid w:val="001055C5"/>
    <w:rsid w:val="00106013"/>
    <w:rsid w:val="00106847"/>
    <w:rsid w:val="00106943"/>
    <w:rsid w:val="00106B5F"/>
    <w:rsid w:val="0010731F"/>
    <w:rsid w:val="00110086"/>
    <w:rsid w:val="001104E2"/>
    <w:rsid w:val="0011056C"/>
    <w:rsid w:val="001111CD"/>
    <w:rsid w:val="00111596"/>
    <w:rsid w:val="00111A50"/>
    <w:rsid w:val="00111B46"/>
    <w:rsid w:val="00111D40"/>
    <w:rsid w:val="0011229C"/>
    <w:rsid w:val="0011248D"/>
    <w:rsid w:val="00112B31"/>
    <w:rsid w:val="00112D44"/>
    <w:rsid w:val="001131C5"/>
    <w:rsid w:val="00113365"/>
    <w:rsid w:val="001133D8"/>
    <w:rsid w:val="00113C3D"/>
    <w:rsid w:val="0011477E"/>
    <w:rsid w:val="00114E1C"/>
    <w:rsid w:val="00114E40"/>
    <w:rsid w:val="00114F5A"/>
    <w:rsid w:val="0011506E"/>
    <w:rsid w:val="00115AAF"/>
    <w:rsid w:val="00115B58"/>
    <w:rsid w:val="00115F57"/>
    <w:rsid w:val="00116155"/>
    <w:rsid w:val="00116284"/>
    <w:rsid w:val="001163B0"/>
    <w:rsid w:val="0011695B"/>
    <w:rsid w:val="00116A09"/>
    <w:rsid w:val="00117165"/>
    <w:rsid w:val="00117B50"/>
    <w:rsid w:val="00120B50"/>
    <w:rsid w:val="00120E70"/>
    <w:rsid w:val="00121737"/>
    <w:rsid w:val="001217EA"/>
    <w:rsid w:val="00121CDD"/>
    <w:rsid w:val="001222D3"/>
    <w:rsid w:val="0012237F"/>
    <w:rsid w:val="001225ED"/>
    <w:rsid w:val="00122831"/>
    <w:rsid w:val="00122B3E"/>
    <w:rsid w:val="00123511"/>
    <w:rsid w:val="001237A7"/>
    <w:rsid w:val="00123B02"/>
    <w:rsid w:val="0012425E"/>
    <w:rsid w:val="001245EB"/>
    <w:rsid w:val="00125071"/>
    <w:rsid w:val="00125965"/>
    <w:rsid w:val="00125A77"/>
    <w:rsid w:val="001265E0"/>
    <w:rsid w:val="00126894"/>
    <w:rsid w:val="00126F26"/>
    <w:rsid w:val="001273A6"/>
    <w:rsid w:val="00127F79"/>
    <w:rsid w:val="00130188"/>
    <w:rsid w:val="00130B43"/>
    <w:rsid w:val="0013163C"/>
    <w:rsid w:val="00131AF6"/>
    <w:rsid w:val="00131B75"/>
    <w:rsid w:val="00131E27"/>
    <w:rsid w:val="00132270"/>
    <w:rsid w:val="0013233C"/>
    <w:rsid w:val="001324C5"/>
    <w:rsid w:val="0013263A"/>
    <w:rsid w:val="00132804"/>
    <w:rsid w:val="00132A88"/>
    <w:rsid w:val="00132FCD"/>
    <w:rsid w:val="001330EF"/>
    <w:rsid w:val="0013318F"/>
    <w:rsid w:val="001344EE"/>
    <w:rsid w:val="00134CAA"/>
    <w:rsid w:val="00134DD0"/>
    <w:rsid w:val="00135342"/>
    <w:rsid w:val="001353E9"/>
    <w:rsid w:val="0013566B"/>
    <w:rsid w:val="001357E1"/>
    <w:rsid w:val="0013586F"/>
    <w:rsid w:val="00135D88"/>
    <w:rsid w:val="00135E54"/>
    <w:rsid w:val="00136432"/>
    <w:rsid w:val="0013670E"/>
    <w:rsid w:val="00136A6E"/>
    <w:rsid w:val="001373F2"/>
    <w:rsid w:val="001378A2"/>
    <w:rsid w:val="00137A45"/>
    <w:rsid w:val="00137D67"/>
    <w:rsid w:val="001405C7"/>
    <w:rsid w:val="00140D0E"/>
    <w:rsid w:val="00141463"/>
    <w:rsid w:val="00141CBE"/>
    <w:rsid w:val="00142939"/>
    <w:rsid w:val="00142B5F"/>
    <w:rsid w:val="00142F35"/>
    <w:rsid w:val="001432C7"/>
    <w:rsid w:val="0014345B"/>
    <w:rsid w:val="00143D7C"/>
    <w:rsid w:val="001443A5"/>
    <w:rsid w:val="00144B0B"/>
    <w:rsid w:val="00145485"/>
    <w:rsid w:val="00145B74"/>
    <w:rsid w:val="0014631F"/>
    <w:rsid w:val="001463B8"/>
    <w:rsid w:val="0014641E"/>
    <w:rsid w:val="00146672"/>
    <w:rsid w:val="0014699A"/>
    <w:rsid w:val="00146B78"/>
    <w:rsid w:val="0014702D"/>
    <w:rsid w:val="001501F2"/>
    <w:rsid w:val="0015024C"/>
    <w:rsid w:val="001504EE"/>
    <w:rsid w:val="00150780"/>
    <w:rsid w:val="001507E1"/>
    <w:rsid w:val="00150C54"/>
    <w:rsid w:val="00150CF3"/>
    <w:rsid w:val="00150D98"/>
    <w:rsid w:val="00150EC2"/>
    <w:rsid w:val="0015118D"/>
    <w:rsid w:val="001511E3"/>
    <w:rsid w:val="0015162C"/>
    <w:rsid w:val="00151C64"/>
    <w:rsid w:val="00151D4D"/>
    <w:rsid w:val="0015229F"/>
    <w:rsid w:val="001529BC"/>
    <w:rsid w:val="00152EF7"/>
    <w:rsid w:val="00152F91"/>
    <w:rsid w:val="001532EC"/>
    <w:rsid w:val="00153DEA"/>
    <w:rsid w:val="00153F0F"/>
    <w:rsid w:val="00154348"/>
    <w:rsid w:val="00154DE7"/>
    <w:rsid w:val="0015512E"/>
    <w:rsid w:val="00155188"/>
    <w:rsid w:val="001557E0"/>
    <w:rsid w:val="001558D6"/>
    <w:rsid w:val="00156270"/>
    <w:rsid w:val="00157B40"/>
    <w:rsid w:val="00157CAD"/>
    <w:rsid w:val="00160212"/>
    <w:rsid w:val="00160950"/>
    <w:rsid w:val="00160A89"/>
    <w:rsid w:val="00160E33"/>
    <w:rsid w:val="00161E63"/>
    <w:rsid w:val="00161FDD"/>
    <w:rsid w:val="00162300"/>
    <w:rsid w:val="001623FF"/>
    <w:rsid w:val="001625C9"/>
    <w:rsid w:val="00162941"/>
    <w:rsid w:val="00162C25"/>
    <w:rsid w:val="00162E4A"/>
    <w:rsid w:val="0016307B"/>
    <w:rsid w:val="00163838"/>
    <w:rsid w:val="00164525"/>
    <w:rsid w:val="0016455E"/>
    <w:rsid w:val="001646CA"/>
    <w:rsid w:val="00164C1D"/>
    <w:rsid w:val="0016534E"/>
    <w:rsid w:val="00165A22"/>
    <w:rsid w:val="00165D3A"/>
    <w:rsid w:val="00165D81"/>
    <w:rsid w:val="001662CA"/>
    <w:rsid w:val="00166546"/>
    <w:rsid w:val="00166884"/>
    <w:rsid w:val="00166CA1"/>
    <w:rsid w:val="00167438"/>
    <w:rsid w:val="00167C9D"/>
    <w:rsid w:val="00167CBD"/>
    <w:rsid w:val="00170673"/>
    <w:rsid w:val="00171A14"/>
    <w:rsid w:val="00171E59"/>
    <w:rsid w:val="00172510"/>
    <w:rsid w:val="001727CE"/>
    <w:rsid w:val="001728A9"/>
    <w:rsid w:val="00172BF0"/>
    <w:rsid w:val="00173C4F"/>
    <w:rsid w:val="00174062"/>
    <w:rsid w:val="001744E3"/>
    <w:rsid w:val="00174880"/>
    <w:rsid w:val="00174938"/>
    <w:rsid w:val="00174BE1"/>
    <w:rsid w:val="00175E10"/>
    <w:rsid w:val="00176376"/>
    <w:rsid w:val="00176647"/>
    <w:rsid w:val="0017672D"/>
    <w:rsid w:val="00176A2C"/>
    <w:rsid w:val="00180233"/>
    <w:rsid w:val="00180471"/>
    <w:rsid w:val="00180577"/>
    <w:rsid w:val="00180C50"/>
    <w:rsid w:val="00180C75"/>
    <w:rsid w:val="00181F17"/>
    <w:rsid w:val="00182404"/>
    <w:rsid w:val="0018265A"/>
    <w:rsid w:val="00183859"/>
    <w:rsid w:val="00183F60"/>
    <w:rsid w:val="001849D8"/>
    <w:rsid w:val="001858DF"/>
    <w:rsid w:val="00185C60"/>
    <w:rsid w:val="00185DDC"/>
    <w:rsid w:val="00186200"/>
    <w:rsid w:val="00186615"/>
    <w:rsid w:val="00186668"/>
    <w:rsid w:val="00190C5E"/>
    <w:rsid w:val="00190F25"/>
    <w:rsid w:val="00191018"/>
    <w:rsid w:val="00191423"/>
    <w:rsid w:val="00191741"/>
    <w:rsid w:val="00191DED"/>
    <w:rsid w:val="00192339"/>
    <w:rsid w:val="00192437"/>
    <w:rsid w:val="00192AF0"/>
    <w:rsid w:val="00192FB4"/>
    <w:rsid w:val="0019301C"/>
    <w:rsid w:val="00193353"/>
    <w:rsid w:val="0019338E"/>
    <w:rsid w:val="00193B9B"/>
    <w:rsid w:val="001943A6"/>
    <w:rsid w:val="00194B27"/>
    <w:rsid w:val="0019578B"/>
    <w:rsid w:val="001959D1"/>
    <w:rsid w:val="0019657E"/>
    <w:rsid w:val="0019660A"/>
    <w:rsid w:val="0019698A"/>
    <w:rsid w:val="00196A45"/>
    <w:rsid w:val="001970BD"/>
    <w:rsid w:val="00197953"/>
    <w:rsid w:val="00197EE2"/>
    <w:rsid w:val="001A0069"/>
    <w:rsid w:val="001A061D"/>
    <w:rsid w:val="001A07CE"/>
    <w:rsid w:val="001A090D"/>
    <w:rsid w:val="001A1081"/>
    <w:rsid w:val="001A1992"/>
    <w:rsid w:val="001A1EF2"/>
    <w:rsid w:val="001A253E"/>
    <w:rsid w:val="001A2AC4"/>
    <w:rsid w:val="001A2C0A"/>
    <w:rsid w:val="001A3094"/>
    <w:rsid w:val="001A413F"/>
    <w:rsid w:val="001A4422"/>
    <w:rsid w:val="001A44E2"/>
    <w:rsid w:val="001A486D"/>
    <w:rsid w:val="001A4B94"/>
    <w:rsid w:val="001A519A"/>
    <w:rsid w:val="001A5C62"/>
    <w:rsid w:val="001A6C04"/>
    <w:rsid w:val="001A7351"/>
    <w:rsid w:val="001A7BE5"/>
    <w:rsid w:val="001B0116"/>
    <w:rsid w:val="001B054E"/>
    <w:rsid w:val="001B09FA"/>
    <w:rsid w:val="001B0CC9"/>
    <w:rsid w:val="001B1189"/>
    <w:rsid w:val="001B128C"/>
    <w:rsid w:val="001B1AE4"/>
    <w:rsid w:val="001B1CD5"/>
    <w:rsid w:val="001B1ECA"/>
    <w:rsid w:val="001B23C3"/>
    <w:rsid w:val="001B2935"/>
    <w:rsid w:val="001B2A06"/>
    <w:rsid w:val="001B2E83"/>
    <w:rsid w:val="001B31B0"/>
    <w:rsid w:val="001B3420"/>
    <w:rsid w:val="001B3B6B"/>
    <w:rsid w:val="001B43FA"/>
    <w:rsid w:val="001B44FC"/>
    <w:rsid w:val="001B5072"/>
    <w:rsid w:val="001B516C"/>
    <w:rsid w:val="001B52F8"/>
    <w:rsid w:val="001B5745"/>
    <w:rsid w:val="001B6B27"/>
    <w:rsid w:val="001B78FE"/>
    <w:rsid w:val="001B7B07"/>
    <w:rsid w:val="001B7CD7"/>
    <w:rsid w:val="001C0387"/>
    <w:rsid w:val="001C03DA"/>
    <w:rsid w:val="001C07A6"/>
    <w:rsid w:val="001C0844"/>
    <w:rsid w:val="001C0F59"/>
    <w:rsid w:val="001C0FDE"/>
    <w:rsid w:val="001C1507"/>
    <w:rsid w:val="001C1F78"/>
    <w:rsid w:val="001C208D"/>
    <w:rsid w:val="001C282E"/>
    <w:rsid w:val="001C310E"/>
    <w:rsid w:val="001C3566"/>
    <w:rsid w:val="001C3DC9"/>
    <w:rsid w:val="001C40CB"/>
    <w:rsid w:val="001C4283"/>
    <w:rsid w:val="001C4AC9"/>
    <w:rsid w:val="001C4BA8"/>
    <w:rsid w:val="001C55A6"/>
    <w:rsid w:val="001C5E70"/>
    <w:rsid w:val="001C617B"/>
    <w:rsid w:val="001C6222"/>
    <w:rsid w:val="001C6481"/>
    <w:rsid w:val="001C653C"/>
    <w:rsid w:val="001C66CE"/>
    <w:rsid w:val="001C6734"/>
    <w:rsid w:val="001C6B63"/>
    <w:rsid w:val="001C6E8C"/>
    <w:rsid w:val="001C762D"/>
    <w:rsid w:val="001C7BB7"/>
    <w:rsid w:val="001D042F"/>
    <w:rsid w:val="001D059C"/>
    <w:rsid w:val="001D0684"/>
    <w:rsid w:val="001D0942"/>
    <w:rsid w:val="001D0AC5"/>
    <w:rsid w:val="001D1549"/>
    <w:rsid w:val="001D1D9F"/>
    <w:rsid w:val="001D1E20"/>
    <w:rsid w:val="001D1EE7"/>
    <w:rsid w:val="001D20FB"/>
    <w:rsid w:val="001D23CE"/>
    <w:rsid w:val="001D2C2B"/>
    <w:rsid w:val="001D2CA0"/>
    <w:rsid w:val="001D3938"/>
    <w:rsid w:val="001D3AC0"/>
    <w:rsid w:val="001D4711"/>
    <w:rsid w:val="001D4937"/>
    <w:rsid w:val="001D504B"/>
    <w:rsid w:val="001D51BE"/>
    <w:rsid w:val="001D6277"/>
    <w:rsid w:val="001D675E"/>
    <w:rsid w:val="001D6BF7"/>
    <w:rsid w:val="001D6C67"/>
    <w:rsid w:val="001D75E4"/>
    <w:rsid w:val="001D7985"/>
    <w:rsid w:val="001D7E4A"/>
    <w:rsid w:val="001D7E68"/>
    <w:rsid w:val="001E0E72"/>
    <w:rsid w:val="001E1C61"/>
    <w:rsid w:val="001E2280"/>
    <w:rsid w:val="001E2AE3"/>
    <w:rsid w:val="001E2C14"/>
    <w:rsid w:val="001E35F1"/>
    <w:rsid w:val="001E3621"/>
    <w:rsid w:val="001E37F8"/>
    <w:rsid w:val="001E3E46"/>
    <w:rsid w:val="001E3F44"/>
    <w:rsid w:val="001E40AB"/>
    <w:rsid w:val="001E5635"/>
    <w:rsid w:val="001E5AF0"/>
    <w:rsid w:val="001E5B08"/>
    <w:rsid w:val="001E5F7B"/>
    <w:rsid w:val="001E6183"/>
    <w:rsid w:val="001E64C0"/>
    <w:rsid w:val="001E6ECA"/>
    <w:rsid w:val="001E748F"/>
    <w:rsid w:val="001E79CC"/>
    <w:rsid w:val="001F02BE"/>
    <w:rsid w:val="001F037F"/>
    <w:rsid w:val="001F0EC2"/>
    <w:rsid w:val="001F0EF2"/>
    <w:rsid w:val="001F1DD7"/>
    <w:rsid w:val="001F1F66"/>
    <w:rsid w:val="001F20E0"/>
    <w:rsid w:val="001F21D4"/>
    <w:rsid w:val="001F2BEB"/>
    <w:rsid w:val="001F30E4"/>
    <w:rsid w:val="001F32E0"/>
    <w:rsid w:val="001F3494"/>
    <w:rsid w:val="001F4432"/>
    <w:rsid w:val="001F4756"/>
    <w:rsid w:val="001F47B7"/>
    <w:rsid w:val="001F4B28"/>
    <w:rsid w:val="001F4CED"/>
    <w:rsid w:val="001F4FA2"/>
    <w:rsid w:val="001F53D4"/>
    <w:rsid w:val="001F53DA"/>
    <w:rsid w:val="001F58DF"/>
    <w:rsid w:val="001F5948"/>
    <w:rsid w:val="001F658A"/>
    <w:rsid w:val="001F6993"/>
    <w:rsid w:val="001F6C5A"/>
    <w:rsid w:val="001F6F80"/>
    <w:rsid w:val="001F765B"/>
    <w:rsid w:val="002000B1"/>
    <w:rsid w:val="0020108B"/>
    <w:rsid w:val="00201528"/>
    <w:rsid w:val="00201F70"/>
    <w:rsid w:val="002020F7"/>
    <w:rsid w:val="00202ED5"/>
    <w:rsid w:val="0020312C"/>
    <w:rsid w:val="0020315C"/>
    <w:rsid w:val="002032AC"/>
    <w:rsid w:val="002034A5"/>
    <w:rsid w:val="00203C6E"/>
    <w:rsid w:val="002044B6"/>
    <w:rsid w:val="002044DB"/>
    <w:rsid w:val="002045E7"/>
    <w:rsid w:val="00204694"/>
    <w:rsid w:val="00205D56"/>
    <w:rsid w:val="00205F1A"/>
    <w:rsid w:val="00206074"/>
    <w:rsid w:val="00206625"/>
    <w:rsid w:val="00206890"/>
    <w:rsid w:val="002071CE"/>
    <w:rsid w:val="00207557"/>
    <w:rsid w:val="0021070B"/>
    <w:rsid w:val="0021074D"/>
    <w:rsid w:val="002111A0"/>
    <w:rsid w:val="0021150C"/>
    <w:rsid w:val="002116B9"/>
    <w:rsid w:val="00211AE2"/>
    <w:rsid w:val="00211DBE"/>
    <w:rsid w:val="00212316"/>
    <w:rsid w:val="002125F3"/>
    <w:rsid w:val="002126F8"/>
    <w:rsid w:val="002128BF"/>
    <w:rsid w:val="002128EA"/>
    <w:rsid w:val="00212B55"/>
    <w:rsid w:val="00212D26"/>
    <w:rsid w:val="00213A4F"/>
    <w:rsid w:val="00213AD5"/>
    <w:rsid w:val="00213C2C"/>
    <w:rsid w:val="00213CF2"/>
    <w:rsid w:val="00213EB1"/>
    <w:rsid w:val="00213F08"/>
    <w:rsid w:val="00213F0F"/>
    <w:rsid w:val="002146D3"/>
    <w:rsid w:val="00214B01"/>
    <w:rsid w:val="00214DB6"/>
    <w:rsid w:val="002156DC"/>
    <w:rsid w:val="00215D59"/>
    <w:rsid w:val="0021672B"/>
    <w:rsid w:val="00217148"/>
    <w:rsid w:val="0021719B"/>
    <w:rsid w:val="002171D4"/>
    <w:rsid w:val="00217506"/>
    <w:rsid w:val="00217549"/>
    <w:rsid w:val="00217D74"/>
    <w:rsid w:val="002203F3"/>
    <w:rsid w:val="00220464"/>
    <w:rsid w:val="0022067A"/>
    <w:rsid w:val="002206AC"/>
    <w:rsid w:val="00220E53"/>
    <w:rsid w:val="00221FC5"/>
    <w:rsid w:val="00222264"/>
    <w:rsid w:val="00222682"/>
    <w:rsid w:val="00222A27"/>
    <w:rsid w:val="002237F1"/>
    <w:rsid w:val="00223A71"/>
    <w:rsid w:val="00223B82"/>
    <w:rsid w:val="00224169"/>
    <w:rsid w:val="00224A52"/>
    <w:rsid w:val="00224F97"/>
    <w:rsid w:val="002251CB"/>
    <w:rsid w:val="0022527C"/>
    <w:rsid w:val="00225C46"/>
    <w:rsid w:val="0022620D"/>
    <w:rsid w:val="0022626C"/>
    <w:rsid w:val="00226A56"/>
    <w:rsid w:val="00226D4D"/>
    <w:rsid w:val="00227275"/>
    <w:rsid w:val="002279D0"/>
    <w:rsid w:val="00227C0B"/>
    <w:rsid w:val="00227D3B"/>
    <w:rsid w:val="0023076A"/>
    <w:rsid w:val="00230AA6"/>
    <w:rsid w:val="00230CD5"/>
    <w:rsid w:val="00231100"/>
    <w:rsid w:val="00231953"/>
    <w:rsid w:val="00231E92"/>
    <w:rsid w:val="00232259"/>
    <w:rsid w:val="00232828"/>
    <w:rsid w:val="0023285F"/>
    <w:rsid w:val="002330CC"/>
    <w:rsid w:val="002331B6"/>
    <w:rsid w:val="002341C9"/>
    <w:rsid w:val="00234550"/>
    <w:rsid w:val="00234A6F"/>
    <w:rsid w:val="00234FD0"/>
    <w:rsid w:val="002350CC"/>
    <w:rsid w:val="00235304"/>
    <w:rsid w:val="00235527"/>
    <w:rsid w:val="00235532"/>
    <w:rsid w:val="002355A4"/>
    <w:rsid w:val="00235F28"/>
    <w:rsid w:val="002362B4"/>
    <w:rsid w:val="00236780"/>
    <w:rsid w:val="00236DE3"/>
    <w:rsid w:val="00236DEF"/>
    <w:rsid w:val="00236F2F"/>
    <w:rsid w:val="00237171"/>
    <w:rsid w:val="002372B3"/>
    <w:rsid w:val="002378BF"/>
    <w:rsid w:val="00237A52"/>
    <w:rsid w:val="0024006C"/>
    <w:rsid w:val="00240504"/>
    <w:rsid w:val="00240BA2"/>
    <w:rsid w:val="00240FDB"/>
    <w:rsid w:val="0024161E"/>
    <w:rsid w:val="002424EC"/>
    <w:rsid w:val="00242A71"/>
    <w:rsid w:val="00243C9F"/>
    <w:rsid w:val="00243CB2"/>
    <w:rsid w:val="00243D78"/>
    <w:rsid w:val="00243E80"/>
    <w:rsid w:val="00244434"/>
    <w:rsid w:val="00244E4E"/>
    <w:rsid w:val="00245129"/>
    <w:rsid w:val="0024519B"/>
    <w:rsid w:val="0024591D"/>
    <w:rsid w:val="00246030"/>
    <w:rsid w:val="0024615F"/>
    <w:rsid w:val="002467A8"/>
    <w:rsid w:val="00246896"/>
    <w:rsid w:val="00246C38"/>
    <w:rsid w:val="00246CB3"/>
    <w:rsid w:val="00246F10"/>
    <w:rsid w:val="00247A8B"/>
    <w:rsid w:val="00250E3C"/>
    <w:rsid w:val="00250F29"/>
    <w:rsid w:val="00251404"/>
    <w:rsid w:val="002515BB"/>
    <w:rsid w:val="002523C8"/>
    <w:rsid w:val="00252659"/>
    <w:rsid w:val="002526E3"/>
    <w:rsid w:val="002528E9"/>
    <w:rsid w:val="00252ED5"/>
    <w:rsid w:val="002530AF"/>
    <w:rsid w:val="00253A79"/>
    <w:rsid w:val="00253E9B"/>
    <w:rsid w:val="0025448D"/>
    <w:rsid w:val="002544E1"/>
    <w:rsid w:val="00254786"/>
    <w:rsid w:val="00254AA4"/>
    <w:rsid w:val="00254DDD"/>
    <w:rsid w:val="002554C4"/>
    <w:rsid w:val="0025584A"/>
    <w:rsid w:val="00255989"/>
    <w:rsid w:val="00255BC2"/>
    <w:rsid w:val="00255C4E"/>
    <w:rsid w:val="00255D3E"/>
    <w:rsid w:val="002563F7"/>
    <w:rsid w:val="00256662"/>
    <w:rsid w:val="00256926"/>
    <w:rsid w:val="00256F9A"/>
    <w:rsid w:val="002570BB"/>
    <w:rsid w:val="00257108"/>
    <w:rsid w:val="00257CE6"/>
    <w:rsid w:val="0026002B"/>
    <w:rsid w:val="00260105"/>
    <w:rsid w:val="0026030E"/>
    <w:rsid w:val="00260E73"/>
    <w:rsid w:val="00260E89"/>
    <w:rsid w:val="00260F52"/>
    <w:rsid w:val="0026104B"/>
    <w:rsid w:val="002613E0"/>
    <w:rsid w:val="00262765"/>
    <w:rsid w:val="00262843"/>
    <w:rsid w:val="002630FB"/>
    <w:rsid w:val="0026378E"/>
    <w:rsid w:val="002645D1"/>
    <w:rsid w:val="00264DB6"/>
    <w:rsid w:val="002650E7"/>
    <w:rsid w:val="00265375"/>
    <w:rsid w:val="0026561A"/>
    <w:rsid w:val="00265EAC"/>
    <w:rsid w:val="00266A49"/>
    <w:rsid w:val="00266D26"/>
    <w:rsid w:val="00266EF8"/>
    <w:rsid w:val="002672EA"/>
    <w:rsid w:val="00267327"/>
    <w:rsid w:val="002674BA"/>
    <w:rsid w:val="00267F41"/>
    <w:rsid w:val="00270191"/>
    <w:rsid w:val="002704B9"/>
    <w:rsid w:val="00270CCE"/>
    <w:rsid w:val="00270D43"/>
    <w:rsid w:val="002711B5"/>
    <w:rsid w:val="00271408"/>
    <w:rsid w:val="00271C25"/>
    <w:rsid w:val="002723FE"/>
    <w:rsid w:val="002725B3"/>
    <w:rsid w:val="00272EE6"/>
    <w:rsid w:val="002739CB"/>
    <w:rsid w:val="002741B1"/>
    <w:rsid w:val="0027471D"/>
    <w:rsid w:val="00275381"/>
    <w:rsid w:val="002755C7"/>
    <w:rsid w:val="00275BB3"/>
    <w:rsid w:val="002760D2"/>
    <w:rsid w:val="0027626D"/>
    <w:rsid w:val="00276D99"/>
    <w:rsid w:val="00277753"/>
    <w:rsid w:val="00277986"/>
    <w:rsid w:val="00277BA3"/>
    <w:rsid w:val="00277D13"/>
    <w:rsid w:val="00277E6B"/>
    <w:rsid w:val="00280A7D"/>
    <w:rsid w:val="00280E74"/>
    <w:rsid w:val="0028117D"/>
    <w:rsid w:val="00282359"/>
    <w:rsid w:val="002839E3"/>
    <w:rsid w:val="00283B19"/>
    <w:rsid w:val="00283BD2"/>
    <w:rsid w:val="00283D12"/>
    <w:rsid w:val="00285815"/>
    <w:rsid w:val="00285A35"/>
    <w:rsid w:val="00286AB0"/>
    <w:rsid w:val="00286DD8"/>
    <w:rsid w:val="00287715"/>
    <w:rsid w:val="002900C5"/>
    <w:rsid w:val="002904DE"/>
    <w:rsid w:val="00290CDB"/>
    <w:rsid w:val="002911F1"/>
    <w:rsid w:val="00291707"/>
    <w:rsid w:val="00291C76"/>
    <w:rsid w:val="00291F6E"/>
    <w:rsid w:val="0029251E"/>
    <w:rsid w:val="00292550"/>
    <w:rsid w:val="00292AD5"/>
    <w:rsid w:val="00292BED"/>
    <w:rsid w:val="00292EC3"/>
    <w:rsid w:val="00292F2C"/>
    <w:rsid w:val="002934C0"/>
    <w:rsid w:val="00294465"/>
    <w:rsid w:val="00295801"/>
    <w:rsid w:val="00295B01"/>
    <w:rsid w:val="00295B20"/>
    <w:rsid w:val="00295C42"/>
    <w:rsid w:val="0029670A"/>
    <w:rsid w:val="00296A28"/>
    <w:rsid w:val="002977BD"/>
    <w:rsid w:val="002A0F80"/>
    <w:rsid w:val="002A1604"/>
    <w:rsid w:val="002A1AC8"/>
    <w:rsid w:val="002A1E54"/>
    <w:rsid w:val="002A27C4"/>
    <w:rsid w:val="002A3120"/>
    <w:rsid w:val="002A314E"/>
    <w:rsid w:val="002A347B"/>
    <w:rsid w:val="002A36F9"/>
    <w:rsid w:val="002A3749"/>
    <w:rsid w:val="002A3D5C"/>
    <w:rsid w:val="002A4271"/>
    <w:rsid w:val="002A4409"/>
    <w:rsid w:val="002A45B3"/>
    <w:rsid w:val="002A460D"/>
    <w:rsid w:val="002A4B3E"/>
    <w:rsid w:val="002A4B68"/>
    <w:rsid w:val="002A4C90"/>
    <w:rsid w:val="002A6083"/>
    <w:rsid w:val="002A664A"/>
    <w:rsid w:val="002A68F7"/>
    <w:rsid w:val="002A6BF6"/>
    <w:rsid w:val="002A7082"/>
    <w:rsid w:val="002A7106"/>
    <w:rsid w:val="002A71E2"/>
    <w:rsid w:val="002B0074"/>
    <w:rsid w:val="002B0E96"/>
    <w:rsid w:val="002B0F07"/>
    <w:rsid w:val="002B13DF"/>
    <w:rsid w:val="002B13F1"/>
    <w:rsid w:val="002B169C"/>
    <w:rsid w:val="002B171E"/>
    <w:rsid w:val="002B1FB6"/>
    <w:rsid w:val="002B2957"/>
    <w:rsid w:val="002B29D2"/>
    <w:rsid w:val="002B3228"/>
    <w:rsid w:val="002B323F"/>
    <w:rsid w:val="002B3362"/>
    <w:rsid w:val="002B36EF"/>
    <w:rsid w:val="002B4727"/>
    <w:rsid w:val="002B4ADC"/>
    <w:rsid w:val="002B4DC6"/>
    <w:rsid w:val="002B4F1C"/>
    <w:rsid w:val="002B5CD6"/>
    <w:rsid w:val="002B6015"/>
    <w:rsid w:val="002B642A"/>
    <w:rsid w:val="002B6D13"/>
    <w:rsid w:val="002B7CFC"/>
    <w:rsid w:val="002C0A93"/>
    <w:rsid w:val="002C0AB7"/>
    <w:rsid w:val="002C0DD8"/>
    <w:rsid w:val="002C1070"/>
    <w:rsid w:val="002C1410"/>
    <w:rsid w:val="002C16C9"/>
    <w:rsid w:val="002C191B"/>
    <w:rsid w:val="002C1CFD"/>
    <w:rsid w:val="002C26D7"/>
    <w:rsid w:val="002C26FB"/>
    <w:rsid w:val="002C27D9"/>
    <w:rsid w:val="002C2A2A"/>
    <w:rsid w:val="002C2B64"/>
    <w:rsid w:val="002C2B66"/>
    <w:rsid w:val="002C2F55"/>
    <w:rsid w:val="002C3712"/>
    <w:rsid w:val="002C3719"/>
    <w:rsid w:val="002C3854"/>
    <w:rsid w:val="002C3D96"/>
    <w:rsid w:val="002C40F2"/>
    <w:rsid w:val="002C4B24"/>
    <w:rsid w:val="002C54CF"/>
    <w:rsid w:val="002C552B"/>
    <w:rsid w:val="002C55CB"/>
    <w:rsid w:val="002C5A5D"/>
    <w:rsid w:val="002C5BBF"/>
    <w:rsid w:val="002C5DC5"/>
    <w:rsid w:val="002C69A3"/>
    <w:rsid w:val="002C6F60"/>
    <w:rsid w:val="002C7493"/>
    <w:rsid w:val="002C74D6"/>
    <w:rsid w:val="002C75E3"/>
    <w:rsid w:val="002D05F0"/>
    <w:rsid w:val="002D0A3C"/>
    <w:rsid w:val="002D0E37"/>
    <w:rsid w:val="002D101F"/>
    <w:rsid w:val="002D12D3"/>
    <w:rsid w:val="002D1AA1"/>
    <w:rsid w:val="002D1D65"/>
    <w:rsid w:val="002D230E"/>
    <w:rsid w:val="002D24BF"/>
    <w:rsid w:val="002D24C4"/>
    <w:rsid w:val="002D2528"/>
    <w:rsid w:val="002D2855"/>
    <w:rsid w:val="002D2952"/>
    <w:rsid w:val="002D32C9"/>
    <w:rsid w:val="002D3567"/>
    <w:rsid w:val="002D3C7C"/>
    <w:rsid w:val="002D4195"/>
    <w:rsid w:val="002D4712"/>
    <w:rsid w:val="002D49FC"/>
    <w:rsid w:val="002D4A59"/>
    <w:rsid w:val="002D5560"/>
    <w:rsid w:val="002D597D"/>
    <w:rsid w:val="002D5DE1"/>
    <w:rsid w:val="002D6208"/>
    <w:rsid w:val="002D6533"/>
    <w:rsid w:val="002D66F3"/>
    <w:rsid w:val="002D692E"/>
    <w:rsid w:val="002D6B4F"/>
    <w:rsid w:val="002D73BE"/>
    <w:rsid w:val="002D7E1F"/>
    <w:rsid w:val="002E03B6"/>
    <w:rsid w:val="002E03D9"/>
    <w:rsid w:val="002E10B4"/>
    <w:rsid w:val="002E1218"/>
    <w:rsid w:val="002E1280"/>
    <w:rsid w:val="002E16CE"/>
    <w:rsid w:val="002E1752"/>
    <w:rsid w:val="002E17A9"/>
    <w:rsid w:val="002E1FBE"/>
    <w:rsid w:val="002E2AE2"/>
    <w:rsid w:val="002E2B21"/>
    <w:rsid w:val="002E3891"/>
    <w:rsid w:val="002E38D1"/>
    <w:rsid w:val="002E3CA1"/>
    <w:rsid w:val="002E3FDD"/>
    <w:rsid w:val="002E4360"/>
    <w:rsid w:val="002E5515"/>
    <w:rsid w:val="002E555A"/>
    <w:rsid w:val="002E5C1B"/>
    <w:rsid w:val="002E629E"/>
    <w:rsid w:val="002E6407"/>
    <w:rsid w:val="002E64B0"/>
    <w:rsid w:val="002E6530"/>
    <w:rsid w:val="002E6984"/>
    <w:rsid w:val="002E6CFF"/>
    <w:rsid w:val="002E7027"/>
    <w:rsid w:val="002E7B2A"/>
    <w:rsid w:val="002E7DEB"/>
    <w:rsid w:val="002F012C"/>
    <w:rsid w:val="002F11DD"/>
    <w:rsid w:val="002F20FB"/>
    <w:rsid w:val="002F28CD"/>
    <w:rsid w:val="002F3385"/>
    <w:rsid w:val="002F38D9"/>
    <w:rsid w:val="002F39C6"/>
    <w:rsid w:val="002F4176"/>
    <w:rsid w:val="002F478B"/>
    <w:rsid w:val="002F4E05"/>
    <w:rsid w:val="002F561A"/>
    <w:rsid w:val="002F5DA7"/>
    <w:rsid w:val="002F6370"/>
    <w:rsid w:val="002F656B"/>
    <w:rsid w:val="002F685D"/>
    <w:rsid w:val="002F6A18"/>
    <w:rsid w:val="002F7011"/>
    <w:rsid w:val="002F7176"/>
    <w:rsid w:val="002F7222"/>
    <w:rsid w:val="002F7689"/>
    <w:rsid w:val="002F776B"/>
    <w:rsid w:val="002F7FE0"/>
    <w:rsid w:val="003000ED"/>
    <w:rsid w:val="00301015"/>
    <w:rsid w:val="003012E1"/>
    <w:rsid w:val="00301552"/>
    <w:rsid w:val="00301F13"/>
    <w:rsid w:val="00302070"/>
    <w:rsid w:val="00302268"/>
    <w:rsid w:val="00302565"/>
    <w:rsid w:val="00302853"/>
    <w:rsid w:val="00302C1A"/>
    <w:rsid w:val="00303A10"/>
    <w:rsid w:val="00303B40"/>
    <w:rsid w:val="00303BF5"/>
    <w:rsid w:val="00304BEE"/>
    <w:rsid w:val="00304CAE"/>
    <w:rsid w:val="00304EE7"/>
    <w:rsid w:val="00304F45"/>
    <w:rsid w:val="00305053"/>
    <w:rsid w:val="00305931"/>
    <w:rsid w:val="00305B14"/>
    <w:rsid w:val="003060FE"/>
    <w:rsid w:val="00306646"/>
    <w:rsid w:val="00306870"/>
    <w:rsid w:val="00306E29"/>
    <w:rsid w:val="003074D4"/>
    <w:rsid w:val="003075DA"/>
    <w:rsid w:val="00307BAF"/>
    <w:rsid w:val="00310370"/>
    <w:rsid w:val="003105B5"/>
    <w:rsid w:val="003106B7"/>
    <w:rsid w:val="003110D4"/>
    <w:rsid w:val="00311419"/>
    <w:rsid w:val="0031311D"/>
    <w:rsid w:val="00313223"/>
    <w:rsid w:val="00313633"/>
    <w:rsid w:val="003136EC"/>
    <w:rsid w:val="00313963"/>
    <w:rsid w:val="003139B6"/>
    <w:rsid w:val="00314899"/>
    <w:rsid w:val="00314A34"/>
    <w:rsid w:val="00314CD8"/>
    <w:rsid w:val="00314E1A"/>
    <w:rsid w:val="00314E1F"/>
    <w:rsid w:val="00314EE8"/>
    <w:rsid w:val="003151B1"/>
    <w:rsid w:val="00315386"/>
    <w:rsid w:val="0031564B"/>
    <w:rsid w:val="00315995"/>
    <w:rsid w:val="00315B30"/>
    <w:rsid w:val="00315E19"/>
    <w:rsid w:val="00315EDB"/>
    <w:rsid w:val="0031602E"/>
    <w:rsid w:val="003160B5"/>
    <w:rsid w:val="00316468"/>
    <w:rsid w:val="003167A5"/>
    <w:rsid w:val="00316CC1"/>
    <w:rsid w:val="00316E88"/>
    <w:rsid w:val="00316FD7"/>
    <w:rsid w:val="0031753A"/>
    <w:rsid w:val="003178A5"/>
    <w:rsid w:val="00317948"/>
    <w:rsid w:val="00317E54"/>
    <w:rsid w:val="00320C5A"/>
    <w:rsid w:val="0032111A"/>
    <w:rsid w:val="0032113A"/>
    <w:rsid w:val="003215DC"/>
    <w:rsid w:val="003216E2"/>
    <w:rsid w:val="0032197A"/>
    <w:rsid w:val="00321B1C"/>
    <w:rsid w:val="00321DCD"/>
    <w:rsid w:val="00321FBF"/>
    <w:rsid w:val="00322168"/>
    <w:rsid w:val="003222A4"/>
    <w:rsid w:val="003224DA"/>
    <w:rsid w:val="003224E8"/>
    <w:rsid w:val="00322504"/>
    <w:rsid w:val="0032258D"/>
    <w:rsid w:val="00322AD3"/>
    <w:rsid w:val="00322F9F"/>
    <w:rsid w:val="003232AD"/>
    <w:rsid w:val="0032373D"/>
    <w:rsid w:val="00323FE0"/>
    <w:rsid w:val="0032422B"/>
    <w:rsid w:val="00324A5E"/>
    <w:rsid w:val="00324B32"/>
    <w:rsid w:val="003250F7"/>
    <w:rsid w:val="003255EC"/>
    <w:rsid w:val="003259D5"/>
    <w:rsid w:val="00325C3B"/>
    <w:rsid w:val="00325EC9"/>
    <w:rsid w:val="00326030"/>
    <w:rsid w:val="0032606F"/>
    <w:rsid w:val="00326184"/>
    <w:rsid w:val="003261ED"/>
    <w:rsid w:val="00326523"/>
    <w:rsid w:val="0032684C"/>
    <w:rsid w:val="003268CE"/>
    <w:rsid w:val="0032716F"/>
    <w:rsid w:val="00327CAB"/>
    <w:rsid w:val="00330575"/>
    <w:rsid w:val="0033069A"/>
    <w:rsid w:val="00330772"/>
    <w:rsid w:val="00330C14"/>
    <w:rsid w:val="00330D9A"/>
    <w:rsid w:val="00330E7B"/>
    <w:rsid w:val="00330F1B"/>
    <w:rsid w:val="00330FDC"/>
    <w:rsid w:val="0033116A"/>
    <w:rsid w:val="003315B0"/>
    <w:rsid w:val="003318EC"/>
    <w:rsid w:val="00331D06"/>
    <w:rsid w:val="00331EED"/>
    <w:rsid w:val="003328E3"/>
    <w:rsid w:val="00332FCE"/>
    <w:rsid w:val="00333240"/>
    <w:rsid w:val="00333F46"/>
    <w:rsid w:val="003341D9"/>
    <w:rsid w:val="00334964"/>
    <w:rsid w:val="00334C7A"/>
    <w:rsid w:val="00335178"/>
    <w:rsid w:val="00335285"/>
    <w:rsid w:val="00335968"/>
    <w:rsid w:val="003362F0"/>
    <w:rsid w:val="00336890"/>
    <w:rsid w:val="00336963"/>
    <w:rsid w:val="00336FFD"/>
    <w:rsid w:val="00337007"/>
    <w:rsid w:val="003371E4"/>
    <w:rsid w:val="003375D4"/>
    <w:rsid w:val="00337C32"/>
    <w:rsid w:val="0034008C"/>
    <w:rsid w:val="0034037D"/>
    <w:rsid w:val="00340F2E"/>
    <w:rsid w:val="00341283"/>
    <w:rsid w:val="00341406"/>
    <w:rsid w:val="003419DC"/>
    <w:rsid w:val="00341F07"/>
    <w:rsid w:val="003424D1"/>
    <w:rsid w:val="0034285F"/>
    <w:rsid w:val="00342BEB"/>
    <w:rsid w:val="0034321A"/>
    <w:rsid w:val="00343641"/>
    <w:rsid w:val="0034383D"/>
    <w:rsid w:val="00343BE1"/>
    <w:rsid w:val="00343F49"/>
    <w:rsid w:val="003440F2"/>
    <w:rsid w:val="00344227"/>
    <w:rsid w:val="00344484"/>
    <w:rsid w:val="00344E7D"/>
    <w:rsid w:val="00345234"/>
    <w:rsid w:val="003457B2"/>
    <w:rsid w:val="003457FA"/>
    <w:rsid w:val="00345BE0"/>
    <w:rsid w:val="003464E0"/>
    <w:rsid w:val="0034695C"/>
    <w:rsid w:val="00347897"/>
    <w:rsid w:val="00347979"/>
    <w:rsid w:val="00350141"/>
    <w:rsid w:val="00350578"/>
    <w:rsid w:val="00350D05"/>
    <w:rsid w:val="00350D25"/>
    <w:rsid w:val="0035121C"/>
    <w:rsid w:val="00351225"/>
    <w:rsid w:val="00352128"/>
    <w:rsid w:val="003523B9"/>
    <w:rsid w:val="00353BF3"/>
    <w:rsid w:val="00354178"/>
    <w:rsid w:val="0035421B"/>
    <w:rsid w:val="00354A7D"/>
    <w:rsid w:val="00354E36"/>
    <w:rsid w:val="00355760"/>
    <w:rsid w:val="00355D11"/>
    <w:rsid w:val="003561D4"/>
    <w:rsid w:val="003566FE"/>
    <w:rsid w:val="0035693D"/>
    <w:rsid w:val="00356C86"/>
    <w:rsid w:val="00356CE0"/>
    <w:rsid w:val="00357A69"/>
    <w:rsid w:val="00360432"/>
    <w:rsid w:val="003604F5"/>
    <w:rsid w:val="00360891"/>
    <w:rsid w:val="00361280"/>
    <w:rsid w:val="003613F2"/>
    <w:rsid w:val="003614AC"/>
    <w:rsid w:val="00361574"/>
    <w:rsid w:val="00361A01"/>
    <w:rsid w:val="00361BC2"/>
    <w:rsid w:val="003625F4"/>
    <w:rsid w:val="00362ED9"/>
    <w:rsid w:val="0036380A"/>
    <w:rsid w:val="00363ADF"/>
    <w:rsid w:val="00363BB1"/>
    <w:rsid w:val="003641B3"/>
    <w:rsid w:val="00364490"/>
    <w:rsid w:val="00364BF9"/>
    <w:rsid w:val="00364D52"/>
    <w:rsid w:val="00364FD5"/>
    <w:rsid w:val="003659C7"/>
    <w:rsid w:val="00365D3D"/>
    <w:rsid w:val="00365EF6"/>
    <w:rsid w:val="0036610A"/>
    <w:rsid w:val="00366FFF"/>
    <w:rsid w:val="00367044"/>
    <w:rsid w:val="0036712D"/>
    <w:rsid w:val="003672A4"/>
    <w:rsid w:val="00367424"/>
    <w:rsid w:val="003675A7"/>
    <w:rsid w:val="003676D4"/>
    <w:rsid w:val="0036776B"/>
    <w:rsid w:val="00367BC6"/>
    <w:rsid w:val="00370085"/>
    <w:rsid w:val="0037023C"/>
    <w:rsid w:val="00370551"/>
    <w:rsid w:val="0037057B"/>
    <w:rsid w:val="00370ABB"/>
    <w:rsid w:val="00370FAD"/>
    <w:rsid w:val="00371914"/>
    <w:rsid w:val="00371955"/>
    <w:rsid w:val="00372053"/>
    <w:rsid w:val="003722AB"/>
    <w:rsid w:val="0037240A"/>
    <w:rsid w:val="0037296B"/>
    <w:rsid w:val="00372E7D"/>
    <w:rsid w:val="00372F6E"/>
    <w:rsid w:val="003730AF"/>
    <w:rsid w:val="0037376D"/>
    <w:rsid w:val="0037386C"/>
    <w:rsid w:val="0037395F"/>
    <w:rsid w:val="00373E58"/>
    <w:rsid w:val="00374058"/>
    <w:rsid w:val="0037411E"/>
    <w:rsid w:val="00374BFF"/>
    <w:rsid w:val="00374CD2"/>
    <w:rsid w:val="00374EB1"/>
    <w:rsid w:val="00374EBC"/>
    <w:rsid w:val="00375B8E"/>
    <w:rsid w:val="003764AE"/>
    <w:rsid w:val="0037657B"/>
    <w:rsid w:val="003766E8"/>
    <w:rsid w:val="00376AFA"/>
    <w:rsid w:val="0037787C"/>
    <w:rsid w:val="00377CAF"/>
    <w:rsid w:val="003800AD"/>
    <w:rsid w:val="00380209"/>
    <w:rsid w:val="003802B2"/>
    <w:rsid w:val="00380B28"/>
    <w:rsid w:val="00380E1E"/>
    <w:rsid w:val="0038174E"/>
    <w:rsid w:val="00381A5E"/>
    <w:rsid w:val="00381C5B"/>
    <w:rsid w:val="00381C5E"/>
    <w:rsid w:val="00381FEE"/>
    <w:rsid w:val="0038229D"/>
    <w:rsid w:val="00382363"/>
    <w:rsid w:val="00382500"/>
    <w:rsid w:val="00382BE5"/>
    <w:rsid w:val="0038341E"/>
    <w:rsid w:val="00383EF5"/>
    <w:rsid w:val="00384641"/>
    <w:rsid w:val="003849EA"/>
    <w:rsid w:val="00385404"/>
    <w:rsid w:val="003855D0"/>
    <w:rsid w:val="00385A08"/>
    <w:rsid w:val="00386370"/>
    <w:rsid w:val="003867DF"/>
    <w:rsid w:val="003868EF"/>
    <w:rsid w:val="00387457"/>
    <w:rsid w:val="00387779"/>
    <w:rsid w:val="00387996"/>
    <w:rsid w:val="00387C6A"/>
    <w:rsid w:val="003904DD"/>
    <w:rsid w:val="00390C1F"/>
    <w:rsid w:val="00390CB5"/>
    <w:rsid w:val="00391586"/>
    <w:rsid w:val="00391818"/>
    <w:rsid w:val="0039182D"/>
    <w:rsid w:val="003926D3"/>
    <w:rsid w:val="00392F36"/>
    <w:rsid w:val="0039343F"/>
    <w:rsid w:val="00393738"/>
    <w:rsid w:val="003937E8"/>
    <w:rsid w:val="00393D96"/>
    <w:rsid w:val="00393F1C"/>
    <w:rsid w:val="00394564"/>
    <w:rsid w:val="0039478D"/>
    <w:rsid w:val="003947A8"/>
    <w:rsid w:val="00394AC0"/>
    <w:rsid w:val="00394FB3"/>
    <w:rsid w:val="0039522C"/>
    <w:rsid w:val="00395DC8"/>
    <w:rsid w:val="00395E97"/>
    <w:rsid w:val="003960F7"/>
    <w:rsid w:val="0039652C"/>
    <w:rsid w:val="00396811"/>
    <w:rsid w:val="00396872"/>
    <w:rsid w:val="00396A9A"/>
    <w:rsid w:val="00396E30"/>
    <w:rsid w:val="00396E78"/>
    <w:rsid w:val="00396EF2"/>
    <w:rsid w:val="0039728D"/>
    <w:rsid w:val="00397A04"/>
    <w:rsid w:val="00397BED"/>
    <w:rsid w:val="00397CCE"/>
    <w:rsid w:val="003A0112"/>
    <w:rsid w:val="003A042A"/>
    <w:rsid w:val="003A0688"/>
    <w:rsid w:val="003A0B5C"/>
    <w:rsid w:val="003A0C6B"/>
    <w:rsid w:val="003A0D66"/>
    <w:rsid w:val="003A18AA"/>
    <w:rsid w:val="003A1982"/>
    <w:rsid w:val="003A251E"/>
    <w:rsid w:val="003A26B2"/>
    <w:rsid w:val="003A26EA"/>
    <w:rsid w:val="003A2737"/>
    <w:rsid w:val="003A3D9E"/>
    <w:rsid w:val="003A3E70"/>
    <w:rsid w:val="003A3FC6"/>
    <w:rsid w:val="003A434A"/>
    <w:rsid w:val="003A4A2F"/>
    <w:rsid w:val="003A4FB0"/>
    <w:rsid w:val="003A5220"/>
    <w:rsid w:val="003A563B"/>
    <w:rsid w:val="003A5AEA"/>
    <w:rsid w:val="003A6014"/>
    <w:rsid w:val="003A63B8"/>
    <w:rsid w:val="003A6B5C"/>
    <w:rsid w:val="003A6C26"/>
    <w:rsid w:val="003A6CAA"/>
    <w:rsid w:val="003A72CF"/>
    <w:rsid w:val="003A76C5"/>
    <w:rsid w:val="003A7763"/>
    <w:rsid w:val="003A7C31"/>
    <w:rsid w:val="003A7CFC"/>
    <w:rsid w:val="003B0411"/>
    <w:rsid w:val="003B107A"/>
    <w:rsid w:val="003B10C7"/>
    <w:rsid w:val="003B1895"/>
    <w:rsid w:val="003B2094"/>
    <w:rsid w:val="003B21C2"/>
    <w:rsid w:val="003B254A"/>
    <w:rsid w:val="003B2873"/>
    <w:rsid w:val="003B29A6"/>
    <w:rsid w:val="003B2C14"/>
    <w:rsid w:val="003B307D"/>
    <w:rsid w:val="003B409C"/>
    <w:rsid w:val="003B453A"/>
    <w:rsid w:val="003B4CE1"/>
    <w:rsid w:val="003B5831"/>
    <w:rsid w:val="003B5F80"/>
    <w:rsid w:val="003B5FEC"/>
    <w:rsid w:val="003B65B7"/>
    <w:rsid w:val="003B70BD"/>
    <w:rsid w:val="003B75B8"/>
    <w:rsid w:val="003C0079"/>
    <w:rsid w:val="003C06B9"/>
    <w:rsid w:val="003C0873"/>
    <w:rsid w:val="003C173E"/>
    <w:rsid w:val="003C1B67"/>
    <w:rsid w:val="003C1F21"/>
    <w:rsid w:val="003C23BB"/>
    <w:rsid w:val="003C3696"/>
    <w:rsid w:val="003C3C7C"/>
    <w:rsid w:val="003C3F49"/>
    <w:rsid w:val="003C41BA"/>
    <w:rsid w:val="003C47F2"/>
    <w:rsid w:val="003C5171"/>
    <w:rsid w:val="003C58BE"/>
    <w:rsid w:val="003C5BDF"/>
    <w:rsid w:val="003C5BEF"/>
    <w:rsid w:val="003C6111"/>
    <w:rsid w:val="003C6487"/>
    <w:rsid w:val="003C6C7E"/>
    <w:rsid w:val="003C6C96"/>
    <w:rsid w:val="003C6FFA"/>
    <w:rsid w:val="003C703B"/>
    <w:rsid w:val="003C734B"/>
    <w:rsid w:val="003C7487"/>
    <w:rsid w:val="003C74D2"/>
    <w:rsid w:val="003C758C"/>
    <w:rsid w:val="003C7EC5"/>
    <w:rsid w:val="003D00E7"/>
    <w:rsid w:val="003D06DE"/>
    <w:rsid w:val="003D0728"/>
    <w:rsid w:val="003D0DDF"/>
    <w:rsid w:val="003D10FC"/>
    <w:rsid w:val="003D1332"/>
    <w:rsid w:val="003D142B"/>
    <w:rsid w:val="003D173B"/>
    <w:rsid w:val="003D2142"/>
    <w:rsid w:val="003D292F"/>
    <w:rsid w:val="003D2DA5"/>
    <w:rsid w:val="003D2FB1"/>
    <w:rsid w:val="003D3044"/>
    <w:rsid w:val="003D34E3"/>
    <w:rsid w:val="003D3BD2"/>
    <w:rsid w:val="003D3C16"/>
    <w:rsid w:val="003D4368"/>
    <w:rsid w:val="003D455F"/>
    <w:rsid w:val="003D4EC5"/>
    <w:rsid w:val="003D52E7"/>
    <w:rsid w:val="003D5618"/>
    <w:rsid w:val="003D570F"/>
    <w:rsid w:val="003D5CD7"/>
    <w:rsid w:val="003D5DD9"/>
    <w:rsid w:val="003D5F05"/>
    <w:rsid w:val="003D610A"/>
    <w:rsid w:val="003D65C1"/>
    <w:rsid w:val="003D66B2"/>
    <w:rsid w:val="003D6716"/>
    <w:rsid w:val="003D6BE8"/>
    <w:rsid w:val="003D7169"/>
    <w:rsid w:val="003D7259"/>
    <w:rsid w:val="003D770F"/>
    <w:rsid w:val="003D7AB8"/>
    <w:rsid w:val="003D7B79"/>
    <w:rsid w:val="003D7C98"/>
    <w:rsid w:val="003E0184"/>
    <w:rsid w:val="003E0549"/>
    <w:rsid w:val="003E06CD"/>
    <w:rsid w:val="003E0834"/>
    <w:rsid w:val="003E0934"/>
    <w:rsid w:val="003E0CE5"/>
    <w:rsid w:val="003E11C1"/>
    <w:rsid w:val="003E1258"/>
    <w:rsid w:val="003E12DB"/>
    <w:rsid w:val="003E1AB5"/>
    <w:rsid w:val="003E1C5D"/>
    <w:rsid w:val="003E1CEF"/>
    <w:rsid w:val="003E2055"/>
    <w:rsid w:val="003E282F"/>
    <w:rsid w:val="003E3AB3"/>
    <w:rsid w:val="003E3E02"/>
    <w:rsid w:val="003E3E21"/>
    <w:rsid w:val="003E4042"/>
    <w:rsid w:val="003E439F"/>
    <w:rsid w:val="003E44D5"/>
    <w:rsid w:val="003E465B"/>
    <w:rsid w:val="003E48A9"/>
    <w:rsid w:val="003E492D"/>
    <w:rsid w:val="003E4DE8"/>
    <w:rsid w:val="003E4E1E"/>
    <w:rsid w:val="003E52F3"/>
    <w:rsid w:val="003E5463"/>
    <w:rsid w:val="003E63AB"/>
    <w:rsid w:val="003E6B68"/>
    <w:rsid w:val="003E7251"/>
    <w:rsid w:val="003E7321"/>
    <w:rsid w:val="003E798E"/>
    <w:rsid w:val="003F0204"/>
    <w:rsid w:val="003F07F1"/>
    <w:rsid w:val="003F0BD5"/>
    <w:rsid w:val="003F0D51"/>
    <w:rsid w:val="003F0D97"/>
    <w:rsid w:val="003F1627"/>
    <w:rsid w:val="003F16E8"/>
    <w:rsid w:val="003F1A34"/>
    <w:rsid w:val="003F3122"/>
    <w:rsid w:val="003F354F"/>
    <w:rsid w:val="003F3AE0"/>
    <w:rsid w:val="003F3EDB"/>
    <w:rsid w:val="003F3F77"/>
    <w:rsid w:val="003F4653"/>
    <w:rsid w:val="003F4829"/>
    <w:rsid w:val="003F4DFB"/>
    <w:rsid w:val="003F51D3"/>
    <w:rsid w:val="003F59EC"/>
    <w:rsid w:val="003F5B10"/>
    <w:rsid w:val="003F5C09"/>
    <w:rsid w:val="003F5D1C"/>
    <w:rsid w:val="003F6018"/>
    <w:rsid w:val="003F6044"/>
    <w:rsid w:val="003F6A16"/>
    <w:rsid w:val="003F6AA6"/>
    <w:rsid w:val="003F71A7"/>
    <w:rsid w:val="003F7287"/>
    <w:rsid w:val="003F7C47"/>
    <w:rsid w:val="003F7D65"/>
    <w:rsid w:val="00400864"/>
    <w:rsid w:val="00400F57"/>
    <w:rsid w:val="004012E2"/>
    <w:rsid w:val="0040134C"/>
    <w:rsid w:val="004019E8"/>
    <w:rsid w:val="00401D48"/>
    <w:rsid w:val="00401E77"/>
    <w:rsid w:val="00401F16"/>
    <w:rsid w:val="0040265C"/>
    <w:rsid w:val="00402716"/>
    <w:rsid w:val="00402D61"/>
    <w:rsid w:val="00403166"/>
    <w:rsid w:val="004038D2"/>
    <w:rsid w:val="00403933"/>
    <w:rsid w:val="00403E03"/>
    <w:rsid w:val="0040420D"/>
    <w:rsid w:val="0040471B"/>
    <w:rsid w:val="00404934"/>
    <w:rsid w:val="00404C19"/>
    <w:rsid w:val="0040510B"/>
    <w:rsid w:val="00405437"/>
    <w:rsid w:val="00405510"/>
    <w:rsid w:val="004059F6"/>
    <w:rsid w:val="004061A7"/>
    <w:rsid w:val="004065A5"/>
    <w:rsid w:val="00406732"/>
    <w:rsid w:val="00406735"/>
    <w:rsid w:val="004068EE"/>
    <w:rsid w:val="0040699A"/>
    <w:rsid w:val="00407EA4"/>
    <w:rsid w:val="00410103"/>
    <w:rsid w:val="004108AC"/>
    <w:rsid w:val="00410EE0"/>
    <w:rsid w:val="004110DE"/>
    <w:rsid w:val="004111D0"/>
    <w:rsid w:val="004112A6"/>
    <w:rsid w:val="00411667"/>
    <w:rsid w:val="004117BD"/>
    <w:rsid w:val="00411A84"/>
    <w:rsid w:val="00411BB8"/>
    <w:rsid w:val="004122E3"/>
    <w:rsid w:val="00412479"/>
    <w:rsid w:val="0041297E"/>
    <w:rsid w:val="00413520"/>
    <w:rsid w:val="0041394C"/>
    <w:rsid w:val="00413AB9"/>
    <w:rsid w:val="00413CD9"/>
    <w:rsid w:val="00413F65"/>
    <w:rsid w:val="0041416D"/>
    <w:rsid w:val="00414218"/>
    <w:rsid w:val="004142C2"/>
    <w:rsid w:val="004149E0"/>
    <w:rsid w:val="00414F07"/>
    <w:rsid w:val="00415398"/>
    <w:rsid w:val="0041556E"/>
    <w:rsid w:val="00415705"/>
    <w:rsid w:val="0041575A"/>
    <w:rsid w:val="00415AF0"/>
    <w:rsid w:val="00415CF0"/>
    <w:rsid w:val="00415D86"/>
    <w:rsid w:val="00415E50"/>
    <w:rsid w:val="00416639"/>
    <w:rsid w:val="004171D8"/>
    <w:rsid w:val="004171E6"/>
    <w:rsid w:val="0041727A"/>
    <w:rsid w:val="004173CD"/>
    <w:rsid w:val="004179DD"/>
    <w:rsid w:val="00420166"/>
    <w:rsid w:val="004202A4"/>
    <w:rsid w:val="00420BD9"/>
    <w:rsid w:val="00420E60"/>
    <w:rsid w:val="0042107B"/>
    <w:rsid w:val="0042129D"/>
    <w:rsid w:val="00421300"/>
    <w:rsid w:val="0042190A"/>
    <w:rsid w:val="00421D06"/>
    <w:rsid w:val="004221C3"/>
    <w:rsid w:val="00422216"/>
    <w:rsid w:val="004224C8"/>
    <w:rsid w:val="00422705"/>
    <w:rsid w:val="00422825"/>
    <w:rsid w:val="00422B7F"/>
    <w:rsid w:val="00423C4C"/>
    <w:rsid w:val="00423E01"/>
    <w:rsid w:val="00423EB1"/>
    <w:rsid w:val="00424121"/>
    <w:rsid w:val="00424206"/>
    <w:rsid w:val="00424701"/>
    <w:rsid w:val="004247E0"/>
    <w:rsid w:val="004248F0"/>
    <w:rsid w:val="00424CE3"/>
    <w:rsid w:val="00424D23"/>
    <w:rsid w:val="004251B7"/>
    <w:rsid w:val="0042593C"/>
    <w:rsid w:val="0042595E"/>
    <w:rsid w:val="00426350"/>
    <w:rsid w:val="004263F2"/>
    <w:rsid w:val="0042677C"/>
    <w:rsid w:val="00426B7A"/>
    <w:rsid w:val="00426BF4"/>
    <w:rsid w:val="004279C4"/>
    <w:rsid w:val="00430AE4"/>
    <w:rsid w:val="00430C47"/>
    <w:rsid w:val="00430FCA"/>
    <w:rsid w:val="00431F44"/>
    <w:rsid w:val="00433254"/>
    <w:rsid w:val="004335CD"/>
    <w:rsid w:val="00434303"/>
    <w:rsid w:val="004348D2"/>
    <w:rsid w:val="00435160"/>
    <w:rsid w:val="00435C3E"/>
    <w:rsid w:val="00436155"/>
    <w:rsid w:val="0043651F"/>
    <w:rsid w:val="00436594"/>
    <w:rsid w:val="0043693F"/>
    <w:rsid w:val="00436B2A"/>
    <w:rsid w:val="00437457"/>
    <w:rsid w:val="00437549"/>
    <w:rsid w:val="00437A06"/>
    <w:rsid w:val="0044038A"/>
    <w:rsid w:val="00441354"/>
    <w:rsid w:val="004413DC"/>
    <w:rsid w:val="0044154D"/>
    <w:rsid w:val="00442060"/>
    <w:rsid w:val="00442439"/>
    <w:rsid w:val="00442B64"/>
    <w:rsid w:val="00442DFA"/>
    <w:rsid w:val="004431CE"/>
    <w:rsid w:val="004434B5"/>
    <w:rsid w:val="0044445B"/>
    <w:rsid w:val="004445A4"/>
    <w:rsid w:val="00444A2E"/>
    <w:rsid w:val="00444C63"/>
    <w:rsid w:val="00444C78"/>
    <w:rsid w:val="00444C91"/>
    <w:rsid w:val="00445276"/>
    <w:rsid w:val="004452D8"/>
    <w:rsid w:val="00445383"/>
    <w:rsid w:val="00445914"/>
    <w:rsid w:val="00445C21"/>
    <w:rsid w:val="00446258"/>
    <w:rsid w:val="004462FE"/>
    <w:rsid w:val="00446743"/>
    <w:rsid w:val="00446E0A"/>
    <w:rsid w:val="00447A2C"/>
    <w:rsid w:val="00447AD5"/>
    <w:rsid w:val="00447EF8"/>
    <w:rsid w:val="004502AE"/>
    <w:rsid w:val="00450668"/>
    <w:rsid w:val="00450755"/>
    <w:rsid w:val="0045085C"/>
    <w:rsid w:val="004508AE"/>
    <w:rsid w:val="004508B0"/>
    <w:rsid w:val="00450A96"/>
    <w:rsid w:val="00450FC9"/>
    <w:rsid w:val="00451C3D"/>
    <w:rsid w:val="00451C99"/>
    <w:rsid w:val="0045225F"/>
    <w:rsid w:val="00452832"/>
    <w:rsid w:val="00452885"/>
    <w:rsid w:val="00452C7C"/>
    <w:rsid w:val="00452D4D"/>
    <w:rsid w:val="00453663"/>
    <w:rsid w:val="00453758"/>
    <w:rsid w:val="004537C1"/>
    <w:rsid w:val="00453F10"/>
    <w:rsid w:val="0045414E"/>
    <w:rsid w:val="004549FE"/>
    <w:rsid w:val="00454CE6"/>
    <w:rsid w:val="00454E84"/>
    <w:rsid w:val="00455EE4"/>
    <w:rsid w:val="0045669B"/>
    <w:rsid w:val="00456A4E"/>
    <w:rsid w:val="00456F51"/>
    <w:rsid w:val="00456F5D"/>
    <w:rsid w:val="0045786D"/>
    <w:rsid w:val="00457EAF"/>
    <w:rsid w:val="004604BF"/>
    <w:rsid w:val="00460655"/>
    <w:rsid w:val="004608ED"/>
    <w:rsid w:val="00460903"/>
    <w:rsid w:val="00460ACE"/>
    <w:rsid w:val="004618F1"/>
    <w:rsid w:val="00461DB2"/>
    <w:rsid w:val="00461EB4"/>
    <w:rsid w:val="00462865"/>
    <w:rsid w:val="004632BC"/>
    <w:rsid w:val="004635F1"/>
    <w:rsid w:val="00463FBC"/>
    <w:rsid w:val="004642F3"/>
    <w:rsid w:val="004645C0"/>
    <w:rsid w:val="0046467B"/>
    <w:rsid w:val="0046492C"/>
    <w:rsid w:val="0046501E"/>
    <w:rsid w:val="004654A7"/>
    <w:rsid w:val="004656F9"/>
    <w:rsid w:val="00465C64"/>
    <w:rsid w:val="00465F80"/>
    <w:rsid w:val="00466630"/>
    <w:rsid w:val="00466699"/>
    <w:rsid w:val="004677F8"/>
    <w:rsid w:val="00467BA9"/>
    <w:rsid w:val="00467C73"/>
    <w:rsid w:val="004702FB"/>
    <w:rsid w:val="00470496"/>
    <w:rsid w:val="00470A38"/>
    <w:rsid w:val="00470BC7"/>
    <w:rsid w:val="00470D11"/>
    <w:rsid w:val="00471D9D"/>
    <w:rsid w:val="00471E0C"/>
    <w:rsid w:val="0047216F"/>
    <w:rsid w:val="004723B3"/>
    <w:rsid w:val="004723B7"/>
    <w:rsid w:val="004728AF"/>
    <w:rsid w:val="00472AAC"/>
    <w:rsid w:val="00472E39"/>
    <w:rsid w:val="00472EDC"/>
    <w:rsid w:val="004737F2"/>
    <w:rsid w:val="004739E3"/>
    <w:rsid w:val="00474831"/>
    <w:rsid w:val="004749D1"/>
    <w:rsid w:val="0047536F"/>
    <w:rsid w:val="00475BB7"/>
    <w:rsid w:val="00475C60"/>
    <w:rsid w:val="0047647B"/>
    <w:rsid w:val="0047676E"/>
    <w:rsid w:val="00476794"/>
    <w:rsid w:val="00476979"/>
    <w:rsid w:val="00476BC6"/>
    <w:rsid w:val="00476D87"/>
    <w:rsid w:val="00477388"/>
    <w:rsid w:val="00477B33"/>
    <w:rsid w:val="00477DD2"/>
    <w:rsid w:val="00480355"/>
    <w:rsid w:val="00480601"/>
    <w:rsid w:val="00480902"/>
    <w:rsid w:val="00480EA7"/>
    <w:rsid w:val="00481987"/>
    <w:rsid w:val="00481DA6"/>
    <w:rsid w:val="00481F3A"/>
    <w:rsid w:val="004822B7"/>
    <w:rsid w:val="004829CB"/>
    <w:rsid w:val="0048333D"/>
    <w:rsid w:val="00483CC1"/>
    <w:rsid w:val="004842C8"/>
    <w:rsid w:val="004843DD"/>
    <w:rsid w:val="00484439"/>
    <w:rsid w:val="0048459C"/>
    <w:rsid w:val="004848AA"/>
    <w:rsid w:val="004849B8"/>
    <w:rsid w:val="00484BFF"/>
    <w:rsid w:val="004852F3"/>
    <w:rsid w:val="00485AE6"/>
    <w:rsid w:val="00485D19"/>
    <w:rsid w:val="00485D6F"/>
    <w:rsid w:val="00486854"/>
    <w:rsid w:val="00486DD2"/>
    <w:rsid w:val="00486DD6"/>
    <w:rsid w:val="0048717A"/>
    <w:rsid w:val="004872C8"/>
    <w:rsid w:val="00490315"/>
    <w:rsid w:val="004906B4"/>
    <w:rsid w:val="00490703"/>
    <w:rsid w:val="00490BB2"/>
    <w:rsid w:val="00490DED"/>
    <w:rsid w:val="0049108B"/>
    <w:rsid w:val="00491144"/>
    <w:rsid w:val="004916B7"/>
    <w:rsid w:val="00491716"/>
    <w:rsid w:val="004917BA"/>
    <w:rsid w:val="00491FF5"/>
    <w:rsid w:val="004927E0"/>
    <w:rsid w:val="00492E59"/>
    <w:rsid w:val="00493516"/>
    <w:rsid w:val="0049364B"/>
    <w:rsid w:val="004936A6"/>
    <w:rsid w:val="004937C3"/>
    <w:rsid w:val="00494323"/>
    <w:rsid w:val="004943D9"/>
    <w:rsid w:val="00494DF6"/>
    <w:rsid w:val="00494EDD"/>
    <w:rsid w:val="00495522"/>
    <w:rsid w:val="004958CC"/>
    <w:rsid w:val="0049595E"/>
    <w:rsid w:val="00495A69"/>
    <w:rsid w:val="00495D09"/>
    <w:rsid w:val="00495DA6"/>
    <w:rsid w:val="00496101"/>
    <w:rsid w:val="004961D1"/>
    <w:rsid w:val="0049679F"/>
    <w:rsid w:val="0049710F"/>
    <w:rsid w:val="0049773F"/>
    <w:rsid w:val="004978FA"/>
    <w:rsid w:val="00497913"/>
    <w:rsid w:val="00497CAE"/>
    <w:rsid w:val="004A0ECC"/>
    <w:rsid w:val="004A0F30"/>
    <w:rsid w:val="004A108E"/>
    <w:rsid w:val="004A1301"/>
    <w:rsid w:val="004A1793"/>
    <w:rsid w:val="004A1B17"/>
    <w:rsid w:val="004A2C89"/>
    <w:rsid w:val="004A322E"/>
    <w:rsid w:val="004A365B"/>
    <w:rsid w:val="004A3840"/>
    <w:rsid w:val="004A4294"/>
    <w:rsid w:val="004A4544"/>
    <w:rsid w:val="004A4A1A"/>
    <w:rsid w:val="004A56E6"/>
    <w:rsid w:val="004A580F"/>
    <w:rsid w:val="004A58FA"/>
    <w:rsid w:val="004A5B8E"/>
    <w:rsid w:val="004A5F93"/>
    <w:rsid w:val="004A611B"/>
    <w:rsid w:val="004A6224"/>
    <w:rsid w:val="004A655A"/>
    <w:rsid w:val="004A6562"/>
    <w:rsid w:val="004A6C32"/>
    <w:rsid w:val="004A7560"/>
    <w:rsid w:val="004A7658"/>
    <w:rsid w:val="004A791F"/>
    <w:rsid w:val="004B0B61"/>
    <w:rsid w:val="004B10DD"/>
    <w:rsid w:val="004B1381"/>
    <w:rsid w:val="004B153C"/>
    <w:rsid w:val="004B1854"/>
    <w:rsid w:val="004B1EB0"/>
    <w:rsid w:val="004B278F"/>
    <w:rsid w:val="004B2CC9"/>
    <w:rsid w:val="004B2E07"/>
    <w:rsid w:val="004B3212"/>
    <w:rsid w:val="004B332D"/>
    <w:rsid w:val="004B3644"/>
    <w:rsid w:val="004B36AE"/>
    <w:rsid w:val="004B39E9"/>
    <w:rsid w:val="004B3DF3"/>
    <w:rsid w:val="004B3F2A"/>
    <w:rsid w:val="004B431D"/>
    <w:rsid w:val="004B483C"/>
    <w:rsid w:val="004B4DDC"/>
    <w:rsid w:val="004B5872"/>
    <w:rsid w:val="004B6310"/>
    <w:rsid w:val="004B65A8"/>
    <w:rsid w:val="004B6650"/>
    <w:rsid w:val="004B6755"/>
    <w:rsid w:val="004B6A0D"/>
    <w:rsid w:val="004B6D31"/>
    <w:rsid w:val="004B71C7"/>
    <w:rsid w:val="004B7B52"/>
    <w:rsid w:val="004B7C14"/>
    <w:rsid w:val="004C036B"/>
    <w:rsid w:val="004C042F"/>
    <w:rsid w:val="004C04E1"/>
    <w:rsid w:val="004C0684"/>
    <w:rsid w:val="004C0839"/>
    <w:rsid w:val="004C0A72"/>
    <w:rsid w:val="004C0EA9"/>
    <w:rsid w:val="004C127C"/>
    <w:rsid w:val="004C1675"/>
    <w:rsid w:val="004C1B3A"/>
    <w:rsid w:val="004C2242"/>
    <w:rsid w:val="004C3CBA"/>
    <w:rsid w:val="004C3EB2"/>
    <w:rsid w:val="004C4399"/>
    <w:rsid w:val="004C52D4"/>
    <w:rsid w:val="004C53F6"/>
    <w:rsid w:val="004C5C84"/>
    <w:rsid w:val="004C61CF"/>
    <w:rsid w:val="004C6414"/>
    <w:rsid w:val="004C6B7F"/>
    <w:rsid w:val="004C6EBD"/>
    <w:rsid w:val="004C6F22"/>
    <w:rsid w:val="004C7062"/>
    <w:rsid w:val="004C742F"/>
    <w:rsid w:val="004C78FE"/>
    <w:rsid w:val="004C7CFF"/>
    <w:rsid w:val="004D0133"/>
    <w:rsid w:val="004D1259"/>
    <w:rsid w:val="004D1299"/>
    <w:rsid w:val="004D1CA2"/>
    <w:rsid w:val="004D1E6F"/>
    <w:rsid w:val="004D1FBD"/>
    <w:rsid w:val="004D22CA"/>
    <w:rsid w:val="004D24F1"/>
    <w:rsid w:val="004D2AFC"/>
    <w:rsid w:val="004D2B09"/>
    <w:rsid w:val="004D2DA1"/>
    <w:rsid w:val="004D31A3"/>
    <w:rsid w:val="004D3585"/>
    <w:rsid w:val="004D3DB9"/>
    <w:rsid w:val="004D4DB8"/>
    <w:rsid w:val="004D5032"/>
    <w:rsid w:val="004D5AA1"/>
    <w:rsid w:val="004D6881"/>
    <w:rsid w:val="004D698D"/>
    <w:rsid w:val="004D6D76"/>
    <w:rsid w:val="004D7072"/>
    <w:rsid w:val="004D708F"/>
    <w:rsid w:val="004D7CAF"/>
    <w:rsid w:val="004E0109"/>
    <w:rsid w:val="004E02F3"/>
    <w:rsid w:val="004E06DC"/>
    <w:rsid w:val="004E06E4"/>
    <w:rsid w:val="004E1248"/>
    <w:rsid w:val="004E1391"/>
    <w:rsid w:val="004E13D6"/>
    <w:rsid w:val="004E1B9D"/>
    <w:rsid w:val="004E23CC"/>
    <w:rsid w:val="004E2981"/>
    <w:rsid w:val="004E2B94"/>
    <w:rsid w:val="004E3276"/>
    <w:rsid w:val="004E332A"/>
    <w:rsid w:val="004E412D"/>
    <w:rsid w:val="004E463F"/>
    <w:rsid w:val="004E46B7"/>
    <w:rsid w:val="004E51C3"/>
    <w:rsid w:val="004E58A3"/>
    <w:rsid w:val="004E5B70"/>
    <w:rsid w:val="004E5BCE"/>
    <w:rsid w:val="004E63BC"/>
    <w:rsid w:val="004E67E3"/>
    <w:rsid w:val="004E6D32"/>
    <w:rsid w:val="004E6F15"/>
    <w:rsid w:val="004E6FA0"/>
    <w:rsid w:val="004E7F1A"/>
    <w:rsid w:val="004E7F74"/>
    <w:rsid w:val="004F068C"/>
    <w:rsid w:val="004F0F09"/>
    <w:rsid w:val="004F1DA3"/>
    <w:rsid w:val="004F2128"/>
    <w:rsid w:val="004F27D8"/>
    <w:rsid w:val="004F2BA6"/>
    <w:rsid w:val="004F3538"/>
    <w:rsid w:val="004F3F15"/>
    <w:rsid w:val="004F3FB6"/>
    <w:rsid w:val="004F40AF"/>
    <w:rsid w:val="004F45E7"/>
    <w:rsid w:val="004F46AB"/>
    <w:rsid w:val="004F4748"/>
    <w:rsid w:val="004F4F3A"/>
    <w:rsid w:val="004F4F56"/>
    <w:rsid w:val="004F50EB"/>
    <w:rsid w:val="004F5316"/>
    <w:rsid w:val="004F54E5"/>
    <w:rsid w:val="004F5ABA"/>
    <w:rsid w:val="004F657C"/>
    <w:rsid w:val="004F67D4"/>
    <w:rsid w:val="004F6D8F"/>
    <w:rsid w:val="004F6E44"/>
    <w:rsid w:val="004F6EB2"/>
    <w:rsid w:val="004F707B"/>
    <w:rsid w:val="004F7186"/>
    <w:rsid w:val="004F751E"/>
    <w:rsid w:val="004F7665"/>
    <w:rsid w:val="004F7709"/>
    <w:rsid w:val="004F7788"/>
    <w:rsid w:val="004F79C8"/>
    <w:rsid w:val="004F7B96"/>
    <w:rsid w:val="004F7EBA"/>
    <w:rsid w:val="00500856"/>
    <w:rsid w:val="00500FE2"/>
    <w:rsid w:val="00502635"/>
    <w:rsid w:val="0050286F"/>
    <w:rsid w:val="0050338D"/>
    <w:rsid w:val="00503782"/>
    <w:rsid w:val="00503B24"/>
    <w:rsid w:val="00503F2C"/>
    <w:rsid w:val="0050475E"/>
    <w:rsid w:val="005048C4"/>
    <w:rsid w:val="00504C92"/>
    <w:rsid w:val="00504E4A"/>
    <w:rsid w:val="00505635"/>
    <w:rsid w:val="0050646E"/>
    <w:rsid w:val="00506785"/>
    <w:rsid w:val="00506CFD"/>
    <w:rsid w:val="00507027"/>
    <w:rsid w:val="0050731C"/>
    <w:rsid w:val="005076DE"/>
    <w:rsid w:val="005078DA"/>
    <w:rsid w:val="0050795C"/>
    <w:rsid w:val="00507AD1"/>
    <w:rsid w:val="00507CA2"/>
    <w:rsid w:val="00510FE4"/>
    <w:rsid w:val="00511248"/>
    <w:rsid w:val="0051146D"/>
    <w:rsid w:val="00511D6F"/>
    <w:rsid w:val="005128B8"/>
    <w:rsid w:val="005129EF"/>
    <w:rsid w:val="005134D8"/>
    <w:rsid w:val="005135DC"/>
    <w:rsid w:val="00513C68"/>
    <w:rsid w:val="0051456C"/>
    <w:rsid w:val="0051465E"/>
    <w:rsid w:val="005147EC"/>
    <w:rsid w:val="005149A2"/>
    <w:rsid w:val="00514EF1"/>
    <w:rsid w:val="005154B7"/>
    <w:rsid w:val="00515643"/>
    <w:rsid w:val="005157C0"/>
    <w:rsid w:val="0051591B"/>
    <w:rsid w:val="00515A59"/>
    <w:rsid w:val="00516001"/>
    <w:rsid w:val="00516D72"/>
    <w:rsid w:val="00516EF8"/>
    <w:rsid w:val="00517277"/>
    <w:rsid w:val="0051736E"/>
    <w:rsid w:val="00517406"/>
    <w:rsid w:val="005175A9"/>
    <w:rsid w:val="00517635"/>
    <w:rsid w:val="005179A3"/>
    <w:rsid w:val="00517D0E"/>
    <w:rsid w:val="00517E4F"/>
    <w:rsid w:val="00520612"/>
    <w:rsid w:val="00520CF2"/>
    <w:rsid w:val="00521091"/>
    <w:rsid w:val="005212B6"/>
    <w:rsid w:val="00521498"/>
    <w:rsid w:val="00521CA9"/>
    <w:rsid w:val="0052235B"/>
    <w:rsid w:val="00523139"/>
    <w:rsid w:val="00523172"/>
    <w:rsid w:val="0052355D"/>
    <w:rsid w:val="00523AFD"/>
    <w:rsid w:val="0052538F"/>
    <w:rsid w:val="00525527"/>
    <w:rsid w:val="00525A2A"/>
    <w:rsid w:val="00526045"/>
    <w:rsid w:val="005261BE"/>
    <w:rsid w:val="00526429"/>
    <w:rsid w:val="00526C9B"/>
    <w:rsid w:val="00526DB3"/>
    <w:rsid w:val="00527699"/>
    <w:rsid w:val="00527AD2"/>
    <w:rsid w:val="005300EA"/>
    <w:rsid w:val="005309D8"/>
    <w:rsid w:val="00530B24"/>
    <w:rsid w:val="00530D49"/>
    <w:rsid w:val="00530F7B"/>
    <w:rsid w:val="00531055"/>
    <w:rsid w:val="0053108E"/>
    <w:rsid w:val="005315C4"/>
    <w:rsid w:val="00531836"/>
    <w:rsid w:val="00531983"/>
    <w:rsid w:val="0053238C"/>
    <w:rsid w:val="00532618"/>
    <w:rsid w:val="005334A7"/>
    <w:rsid w:val="00533541"/>
    <w:rsid w:val="005342B1"/>
    <w:rsid w:val="00534398"/>
    <w:rsid w:val="005347DB"/>
    <w:rsid w:val="00534B1C"/>
    <w:rsid w:val="00534D89"/>
    <w:rsid w:val="00535004"/>
    <w:rsid w:val="005352BE"/>
    <w:rsid w:val="00535DB6"/>
    <w:rsid w:val="00536213"/>
    <w:rsid w:val="00536ABF"/>
    <w:rsid w:val="00536C00"/>
    <w:rsid w:val="0053708D"/>
    <w:rsid w:val="00537338"/>
    <w:rsid w:val="0053781C"/>
    <w:rsid w:val="00537BC4"/>
    <w:rsid w:val="00537F41"/>
    <w:rsid w:val="0054050F"/>
    <w:rsid w:val="00540AF9"/>
    <w:rsid w:val="00540BE6"/>
    <w:rsid w:val="00540D69"/>
    <w:rsid w:val="00541567"/>
    <w:rsid w:val="0054266A"/>
    <w:rsid w:val="00542875"/>
    <w:rsid w:val="0054416A"/>
    <w:rsid w:val="005447D1"/>
    <w:rsid w:val="00544E58"/>
    <w:rsid w:val="00545228"/>
    <w:rsid w:val="00545415"/>
    <w:rsid w:val="00545AD7"/>
    <w:rsid w:val="00545BF8"/>
    <w:rsid w:val="00545D62"/>
    <w:rsid w:val="00545F1D"/>
    <w:rsid w:val="0054604F"/>
    <w:rsid w:val="00546079"/>
    <w:rsid w:val="00546318"/>
    <w:rsid w:val="00547033"/>
    <w:rsid w:val="00547044"/>
    <w:rsid w:val="00547543"/>
    <w:rsid w:val="00547D5D"/>
    <w:rsid w:val="005506AD"/>
    <w:rsid w:val="0055075B"/>
    <w:rsid w:val="00550E70"/>
    <w:rsid w:val="00551787"/>
    <w:rsid w:val="00551DEC"/>
    <w:rsid w:val="00551DFC"/>
    <w:rsid w:val="005520A5"/>
    <w:rsid w:val="00552B29"/>
    <w:rsid w:val="00552C02"/>
    <w:rsid w:val="00553824"/>
    <w:rsid w:val="00553914"/>
    <w:rsid w:val="005544BC"/>
    <w:rsid w:val="00554818"/>
    <w:rsid w:val="00554A42"/>
    <w:rsid w:val="00554AAD"/>
    <w:rsid w:val="0055514A"/>
    <w:rsid w:val="00555D35"/>
    <w:rsid w:val="005567A9"/>
    <w:rsid w:val="005570CB"/>
    <w:rsid w:val="00557143"/>
    <w:rsid w:val="005577FA"/>
    <w:rsid w:val="00557B48"/>
    <w:rsid w:val="00557B66"/>
    <w:rsid w:val="00557F76"/>
    <w:rsid w:val="00560507"/>
    <w:rsid w:val="00560650"/>
    <w:rsid w:val="00560740"/>
    <w:rsid w:val="00560ED2"/>
    <w:rsid w:val="00560FFD"/>
    <w:rsid w:val="0056167B"/>
    <w:rsid w:val="00561770"/>
    <w:rsid w:val="00561A26"/>
    <w:rsid w:val="00562D4E"/>
    <w:rsid w:val="00562F19"/>
    <w:rsid w:val="005632EC"/>
    <w:rsid w:val="00563D57"/>
    <w:rsid w:val="00564223"/>
    <w:rsid w:val="005649FF"/>
    <w:rsid w:val="00564BE2"/>
    <w:rsid w:val="00564FC4"/>
    <w:rsid w:val="00565676"/>
    <w:rsid w:val="00565962"/>
    <w:rsid w:val="00565E80"/>
    <w:rsid w:val="00566A8D"/>
    <w:rsid w:val="00566D81"/>
    <w:rsid w:val="005670AE"/>
    <w:rsid w:val="005673E4"/>
    <w:rsid w:val="00567888"/>
    <w:rsid w:val="00567D6E"/>
    <w:rsid w:val="0057062A"/>
    <w:rsid w:val="005706E5"/>
    <w:rsid w:val="00570E5D"/>
    <w:rsid w:val="00571187"/>
    <w:rsid w:val="005711C4"/>
    <w:rsid w:val="0057192D"/>
    <w:rsid w:val="00571C61"/>
    <w:rsid w:val="0057242C"/>
    <w:rsid w:val="00572A5C"/>
    <w:rsid w:val="00572CE1"/>
    <w:rsid w:val="00573106"/>
    <w:rsid w:val="00573568"/>
    <w:rsid w:val="00573657"/>
    <w:rsid w:val="0057373B"/>
    <w:rsid w:val="00573A9E"/>
    <w:rsid w:val="0057408F"/>
    <w:rsid w:val="00574398"/>
    <w:rsid w:val="005745BB"/>
    <w:rsid w:val="0057534F"/>
    <w:rsid w:val="005758C5"/>
    <w:rsid w:val="0057597F"/>
    <w:rsid w:val="00575A36"/>
    <w:rsid w:val="00575ABA"/>
    <w:rsid w:val="00575C11"/>
    <w:rsid w:val="005761DC"/>
    <w:rsid w:val="005762F6"/>
    <w:rsid w:val="005763A9"/>
    <w:rsid w:val="00576616"/>
    <w:rsid w:val="0057679C"/>
    <w:rsid w:val="0057703F"/>
    <w:rsid w:val="00580216"/>
    <w:rsid w:val="005803CF"/>
    <w:rsid w:val="00580977"/>
    <w:rsid w:val="00580B54"/>
    <w:rsid w:val="005811E5"/>
    <w:rsid w:val="005814E1"/>
    <w:rsid w:val="0058157F"/>
    <w:rsid w:val="0058162D"/>
    <w:rsid w:val="005817A9"/>
    <w:rsid w:val="005819A6"/>
    <w:rsid w:val="005824E6"/>
    <w:rsid w:val="005825F3"/>
    <w:rsid w:val="00582699"/>
    <w:rsid w:val="00582749"/>
    <w:rsid w:val="00582FDC"/>
    <w:rsid w:val="0058410C"/>
    <w:rsid w:val="005846F2"/>
    <w:rsid w:val="005851FC"/>
    <w:rsid w:val="005855B2"/>
    <w:rsid w:val="005855B5"/>
    <w:rsid w:val="00585B60"/>
    <w:rsid w:val="0058634F"/>
    <w:rsid w:val="005863B5"/>
    <w:rsid w:val="00586F3A"/>
    <w:rsid w:val="0058702F"/>
    <w:rsid w:val="0058709F"/>
    <w:rsid w:val="00587662"/>
    <w:rsid w:val="0058798D"/>
    <w:rsid w:val="00587B73"/>
    <w:rsid w:val="00587F24"/>
    <w:rsid w:val="00590038"/>
    <w:rsid w:val="00590E37"/>
    <w:rsid w:val="005910CC"/>
    <w:rsid w:val="00591AFC"/>
    <w:rsid w:val="00591F67"/>
    <w:rsid w:val="005920D3"/>
    <w:rsid w:val="00592868"/>
    <w:rsid w:val="00592C9F"/>
    <w:rsid w:val="00592CE7"/>
    <w:rsid w:val="00592E6E"/>
    <w:rsid w:val="00592F01"/>
    <w:rsid w:val="00592F91"/>
    <w:rsid w:val="00592FCB"/>
    <w:rsid w:val="00593049"/>
    <w:rsid w:val="0059330A"/>
    <w:rsid w:val="0059364C"/>
    <w:rsid w:val="00593938"/>
    <w:rsid w:val="00594501"/>
    <w:rsid w:val="00594557"/>
    <w:rsid w:val="00594B57"/>
    <w:rsid w:val="00594BF4"/>
    <w:rsid w:val="00594FE1"/>
    <w:rsid w:val="00595131"/>
    <w:rsid w:val="00595EF0"/>
    <w:rsid w:val="00595F83"/>
    <w:rsid w:val="00595F93"/>
    <w:rsid w:val="00596682"/>
    <w:rsid w:val="00596C9E"/>
    <w:rsid w:val="005970A5"/>
    <w:rsid w:val="00597BDF"/>
    <w:rsid w:val="005A10AD"/>
    <w:rsid w:val="005A1198"/>
    <w:rsid w:val="005A1C18"/>
    <w:rsid w:val="005A244E"/>
    <w:rsid w:val="005A2463"/>
    <w:rsid w:val="005A2A35"/>
    <w:rsid w:val="005A2B58"/>
    <w:rsid w:val="005A32B9"/>
    <w:rsid w:val="005A3647"/>
    <w:rsid w:val="005A3BD3"/>
    <w:rsid w:val="005A41D7"/>
    <w:rsid w:val="005A435F"/>
    <w:rsid w:val="005A4BE7"/>
    <w:rsid w:val="005A508D"/>
    <w:rsid w:val="005A51D8"/>
    <w:rsid w:val="005A5335"/>
    <w:rsid w:val="005A5363"/>
    <w:rsid w:val="005A55B4"/>
    <w:rsid w:val="005A5E0F"/>
    <w:rsid w:val="005A73F8"/>
    <w:rsid w:val="005A7842"/>
    <w:rsid w:val="005A78A2"/>
    <w:rsid w:val="005A7B41"/>
    <w:rsid w:val="005B0465"/>
    <w:rsid w:val="005B0703"/>
    <w:rsid w:val="005B0B7D"/>
    <w:rsid w:val="005B0F0C"/>
    <w:rsid w:val="005B0F5B"/>
    <w:rsid w:val="005B174F"/>
    <w:rsid w:val="005B183E"/>
    <w:rsid w:val="005B1D20"/>
    <w:rsid w:val="005B225E"/>
    <w:rsid w:val="005B28C3"/>
    <w:rsid w:val="005B2C4F"/>
    <w:rsid w:val="005B2D64"/>
    <w:rsid w:val="005B2E0E"/>
    <w:rsid w:val="005B3822"/>
    <w:rsid w:val="005B4011"/>
    <w:rsid w:val="005B45FE"/>
    <w:rsid w:val="005B486F"/>
    <w:rsid w:val="005B4AD0"/>
    <w:rsid w:val="005B4C31"/>
    <w:rsid w:val="005B4C96"/>
    <w:rsid w:val="005B5BC2"/>
    <w:rsid w:val="005B5C39"/>
    <w:rsid w:val="005B5F7D"/>
    <w:rsid w:val="005B62B9"/>
    <w:rsid w:val="005B64E5"/>
    <w:rsid w:val="005B6DA8"/>
    <w:rsid w:val="005B6F18"/>
    <w:rsid w:val="005B712B"/>
    <w:rsid w:val="005B714B"/>
    <w:rsid w:val="005B7514"/>
    <w:rsid w:val="005B77EC"/>
    <w:rsid w:val="005C01AA"/>
    <w:rsid w:val="005C0A84"/>
    <w:rsid w:val="005C0B68"/>
    <w:rsid w:val="005C15EB"/>
    <w:rsid w:val="005C169E"/>
    <w:rsid w:val="005C1754"/>
    <w:rsid w:val="005C1D41"/>
    <w:rsid w:val="005C1D95"/>
    <w:rsid w:val="005C21D5"/>
    <w:rsid w:val="005C228E"/>
    <w:rsid w:val="005C2543"/>
    <w:rsid w:val="005C2956"/>
    <w:rsid w:val="005C2AA2"/>
    <w:rsid w:val="005C3049"/>
    <w:rsid w:val="005C3058"/>
    <w:rsid w:val="005C388C"/>
    <w:rsid w:val="005C3AAF"/>
    <w:rsid w:val="005C3BDC"/>
    <w:rsid w:val="005C42C7"/>
    <w:rsid w:val="005C4324"/>
    <w:rsid w:val="005C4509"/>
    <w:rsid w:val="005C46EC"/>
    <w:rsid w:val="005C4785"/>
    <w:rsid w:val="005C487A"/>
    <w:rsid w:val="005C525D"/>
    <w:rsid w:val="005C5447"/>
    <w:rsid w:val="005C57B0"/>
    <w:rsid w:val="005C5A70"/>
    <w:rsid w:val="005C5BCE"/>
    <w:rsid w:val="005C5EA8"/>
    <w:rsid w:val="005C6830"/>
    <w:rsid w:val="005C69D4"/>
    <w:rsid w:val="005C6BE3"/>
    <w:rsid w:val="005C71F9"/>
    <w:rsid w:val="005C74B4"/>
    <w:rsid w:val="005C776F"/>
    <w:rsid w:val="005C784E"/>
    <w:rsid w:val="005C7F30"/>
    <w:rsid w:val="005D07A5"/>
    <w:rsid w:val="005D0AB0"/>
    <w:rsid w:val="005D1313"/>
    <w:rsid w:val="005D14C6"/>
    <w:rsid w:val="005D1C25"/>
    <w:rsid w:val="005D2133"/>
    <w:rsid w:val="005D2160"/>
    <w:rsid w:val="005D2624"/>
    <w:rsid w:val="005D2E6E"/>
    <w:rsid w:val="005D384C"/>
    <w:rsid w:val="005D39FA"/>
    <w:rsid w:val="005D3CF0"/>
    <w:rsid w:val="005D3F40"/>
    <w:rsid w:val="005D3FF3"/>
    <w:rsid w:val="005D42FF"/>
    <w:rsid w:val="005D5C27"/>
    <w:rsid w:val="005D6207"/>
    <w:rsid w:val="005D667A"/>
    <w:rsid w:val="005D6F3F"/>
    <w:rsid w:val="005D6F43"/>
    <w:rsid w:val="005D760B"/>
    <w:rsid w:val="005D764A"/>
    <w:rsid w:val="005D76DF"/>
    <w:rsid w:val="005E01ED"/>
    <w:rsid w:val="005E0486"/>
    <w:rsid w:val="005E060F"/>
    <w:rsid w:val="005E0766"/>
    <w:rsid w:val="005E094C"/>
    <w:rsid w:val="005E0B84"/>
    <w:rsid w:val="005E0D43"/>
    <w:rsid w:val="005E12DA"/>
    <w:rsid w:val="005E151D"/>
    <w:rsid w:val="005E1A7D"/>
    <w:rsid w:val="005E1A8B"/>
    <w:rsid w:val="005E1CB9"/>
    <w:rsid w:val="005E2BFD"/>
    <w:rsid w:val="005E304F"/>
    <w:rsid w:val="005E42BB"/>
    <w:rsid w:val="005E4926"/>
    <w:rsid w:val="005E4C62"/>
    <w:rsid w:val="005E4E1B"/>
    <w:rsid w:val="005E54E1"/>
    <w:rsid w:val="005E63AB"/>
    <w:rsid w:val="005E69E5"/>
    <w:rsid w:val="005E6B3C"/>
    <w:rsid w:val="005E6BF8"/>
    <w:rsid w:val="005E6CF1"/>
    <w:rsid w:val="005E6EA8"/>
    <w:rsid w:val="005E6F42"/>
    <w:rsid w:val="005E7854"/>
    <w:rsid w:val="005E7FF0"/>
    <w:rsid w:val="005F0154"/>
    <w:rsid w:val="005F0826"/>
    <w:rsid w:val="005F1302"/>
    <w:rsid w:val="005F25EB"/>
    <w:rsid w:val="005F314A"/>
    <w:rsid w:val="005F38D3"/>
    <w:rsid w:val="005F3B32"/>
    <w:rsid w:val="005F53CD"/>
    <w:rsid w:val="005F53EC"/>
    <w:rsid w:val="005F5890"/>
    <w:rsid w:val="005F5AA6"/>
    <w:rsid w:val="005F5BCE"/>
    <w:rsid w:val="005F5FB5"/>
    <w:rsid w:val="005F613C"/>
    <w:rsid w:val="005F6594"/>
    <w:rsid w:val="005F6738"/>
    <w:rsid w:val="005F69A6"/>
    <w:rsid w:val="005F6ABB"/>
    <w:rsid w:val="005F708B"/>
    <w:rsid w:val="005F7131"/>
    <w:rsid w:val="005F71FE"/>
    <w:rsid w:val="005F7B95"/>
    <w:rsid w:val="006000F4"/>
    <w:rsid w:val="00600710"/>
    <w:rsid w:val="00600745"/>
    <w:rsid w:val="00600C4B"/>
    <w:rsid w:val="00600E78"/>
    <w:rsid w:val="00601F44"/>
    <w:rsid w:val="00602057"/>
    <w:rsid w:val="00602175"/>
    <w:rsid w:val="0060306C"/>
    <w:rsid w:val="00603584"/>
    <w:rsid w:val="00604FAB"/>
    <w:rsid w:val="0060508A"/>
    <w:rsid w:val="006051E4"/>
    <w:rsid w:val="00605E39"/>
    <w:rsid w:val="00606C94"/>
    <w:rsid w:val="00606DD7"/>
    <w:rsid w:val="006070DC"/>
    <w:rsid w:val="00607275"/>
    <w:rsid w:val="0060798D"/>
    <w:rsid w:val="006079FB"/>
    <w:rsid w:val="00610424"/>
    <w:rsid w:val="006106D9"/>
    <w:rsid w:val="00610940"/>
    <w:rsid w:val="006116A2"/>
    <w:rsid w:val="00611831"/>
    <w:rsid w:val="00611D1A"/>
    <w:rsid w:val="00611E50"/>
    <w:rsid w:val="006121C5"/>
    <w:rsid w:val="00612425"/>
    <w:rsid w:val="0061273B"/>
    <w:rsid w:val="00612F1A"/>
    <w:rsid w:val="00613064"/>
    <w:rsid w:val="00613320"/>
    <w:rsid w:val="006135B3"/>
    <w:rsid w:val="006135C0"/>
    <w:rsid w:val="00613FE4"/>
    <w:rsid w:val="0061413D"/>
    <w:rsid w:val="00614840"/>
    <w:rsid w:val="006148F8"/>
    <w:rsid w:val="006149F7"/>
    <w:rsid w:val="00614FA1"/>
    <w:rsid w:val="00615AFF"/>
    <w:rsid w:val="00615C56"/>
    <w:rsid w:val="00616284"/>
    <w:rsid w:val="0061643B"/>
    <w:rsid w:val="006165C7"/>
    <w:rsid w:val="00616685"/>
    <w:rsid w:val="00616896"/>
    <w:rsid w:val="006169D9"/>
    <w:rsid w:val="00616A8C"/>
    <w:rsid w:val="00616C0B"/>
    <w:rsid w:val="00617857"/>
    <w:rsid w:val="0061787D"/>
    <w:rsid w:val="006178F2"/>
    <w:rsid w:val="00617C56"/>
    <w:rsid w:val="006206B0"/>
    <w:rsid w:val="00620BD4"/>
    <w:rsid w:val="00620DB5"/>
    <w:rsid w:val="00620F81"/>
    <w:rsid w:val="006210B7"/>
    <w:rsid w:val="006213D2"/>
    <w:rsid w:val="00621539"/>
    <w:rsid w:val="00621CE7"/>
    <w:rsid w:val="0062210D"/>
    <w:rsid w:val="00622BD0"/>
    <w:rsid w:val="00622F81"/>
    <w:rsid w:val="006233F8"/>
    <w:rsid w:val="00623875"/>
    <w:rsid w:val="00623C90"/>
    <w:rsid w:val="00624809"/>
    <w:rsid w:val="006254AA"/>
    <w:rsid w:val="006258F5"/>
    <w:rsid w:val="00625913"/>
    <w:rsid w:val="00625BE7"/>
    <w:rsid w:val="0062623E"/>
    <w:rsid w:val="00626A7D"/>
    <w:rsid w:val="00626AEF"/>
    <w:rsid w:val="00626CAB"/>
    <w:rsid w:val="00626D41"/>
    <w:rsid w:val="00626FC4"/>
    <w:rsid w:val="00627202"/>
    <w:rsid w:val="006273CB"/>
    <w:rsid w:val="00627970"/>
    <w:rsid w:val="00630049"/>
    <w:rsid w:val="006306AA"/>
    <w:rsid w:val="00630B4D"/>
    <w:rsid w:val="00630BDF"/>
    <w:rsid w:val="00630D49"/>
    <w:rsid w:val="0063109B"/>
    <w:rsid w:val="00631457"/>
    <w:rsid w:val="006317B4"/>
    <w:rsid w:val="006318E8"/>
    <w:rsid w:val="00631B83"/>
    <w:rsid w:val="00631E70"/>
    <w:rsid w:val="00631F8E"/>
    <w:rsid w:val="00632201"/>
    <w:rsid w:val="00632630"/>
    <w:rsid w:val="00632763"/>
    <w:rsid w:val="00632CD6"/>
    <w:rsid w:val="00632E6F"/>
    <w:rsid w:val="00632F03"/>
    <w:rsid w:val="006334B4"/>
    <w:rsid w:val="00633ADC"/>
    <w:rsid w:val="00633D9E"/>
    <w:rsid w:val="00634089"/>
    <w:rsid w:val="00634266"/>
    <w:rsid w:val="00634269"/>
    <w:rsid w:val="006347B0"/>
    <w:rsid w:val="00634817"/>
    <w:rsid w:val="006349A0"/>
    <w:rsid w:val="00634C62"/>
    <w:rsid w:val="00634F1B"/>
    <w:rsid w:val="0063590A"/>
    <w:rsid w:val="006360E1"/>
    <w:rsid w:val="006364B3"/>
    <w:rsid w:val="006366FE"/>
    <w:rsid w:val="00636888"/>
    <w:rsid w:val="00636898"/>
    <w:rsid w:val="00636C63"/>
    <w:rsid w:val="00636EEC"/>
    <w:rsid w:val="0063759B"/>
    <w:rsid w:val="006400B0"/>
    <w:rsid w:val="0064026E"/>
    <w:rsid w:val="0064050A"/>
    <w:rsid w:val="00640955"/>
    <w:rsid w:val="00640C78"/>
    <w:rsid w:val="006411BE"/>
    <w:rsid w:val="00641983"/>
    <w:rsid w:val="0064207A"/>
    <w:rsid w:val="006423B8"/>
    <w:rsid w:val="0064264C"/>
    <w:rsid w:val="006429B5"/>
    <w:rsid w:val="00642CEA"/>
    <w:rsid w:val="00642E92"/>
    <w:rsid w:val="00642FF4"/>
    <w:rsid w:val="00642FF7"/>
    <w:rsid w:val="0064307E"/>
    <w:rsid w:val="00643247"/>
    <w:rsid w:val="00643363"/>
    <w:rsid w:val="0064363A"/>
    <w:rsid w:val="00643C28"/>
    <w:rsid w:val="00643D3B"/>
    <w:rsid w:val="00643EDE"/>
    <w:rsid w:val="00644552"/>
    <w:rsid w:val="0064553D"/>
    <w:rsid w:val="00645F6B"/>
    <w:rsid w:val="00645FBD"/>
    <w:rsid w:val="006460B4"/>
    <w:rsid w:val="0064617A"/>
    <w:rsid w:val="00646382"/>
    <w:rsid w:val="006464A0"/>
    <w:rsid w:val="006465D6"/>
    <w:rsid w:val="0064685F"/>
    <w:rsid w:val="00646AA2"/>
    <w:rsid w:val="00646B90"/>
    <w:rsid w:val="00646CE7"/>
    <w:rsid w:val="006473F7"/>
    <w:rsid w:val="006478A8"/>
    <w:rsid w:val="00647BB8"/>
    <w:rsid w:val="00647E78"/>
    <w:rsid w:val="00647EF3"/>
    <w:rsid w:val="00650EB3"/>
    <w:rsid w:val="00651F91"/>
    <w:rsid w:val="00652003"/>
    <w:rsid w:val="00652019"/>
    <w:rsid w:val="00653923"/>
    <w:rsid w:val="00653B30"/>
    <w:rsid w:val="00653CCB"/>
    <w:rsid w:val="00653D32"/>
    <w:rsid w:val="006541B2"/>
    <w:rsid w:val="0065481C"/>
    <w:rsid w:val="006565AD"/>
    <w:rsid w:val="006568AB"/>
    <w:rsid w:val="006572D5"/>
    <w:rsid w:val="006577E8"/>
    <w:rsid w:val="006578A2"/>
    <w:rsid w:val="006579D2"/>
    <w:rsid w:val="00657E26"/>
    <w:rsid w:val="0066022A"/>
    <w:rsid w:val="00660E8B"/>
    <w:rsid w:val="0066113B"/>
    <w:rsid w:val="006612E8"/>
    <w:rsid w:val="00661558"/>
    <w:rsid w:val="006620A1"/>
    <w:rsid w:val="00662691"/>
    <w:rsid w:val="00662A46"/>
    <w:rsid w:val="00662AAD"/>
    <w:rsid w:val="00663087"/>
    <w:rsid w:val="00664197"/>
    <w:rsid w:val="006642E9"/>
    <w:rsid w:val="00664A77"/>
    <w:rsid w:val="00664BFB"/>
    <w:rsid w:val="0066506A"/>
    <w:rsid w:val="00665D34"/>
    <w:rsid w:val="006665EC"/>
    <w:rsid w:val="006667B5"/>
    <w:rsid w:val="00666916"/>
    <w:rsid w:val="00666C79"/>
    <w:rsid w:val="00667513"/>
    <w:rsid w:val="00670620"/>
    <w:rsid w:val="00670796"/>
    <w:rsid w:val="00670DC7"/>
    <w:rsid w:val="00671236"/>
    <w:rsid w:val="0067165C"/>
    <w:rsid w:val="00671B9F"/>
    <w:rsid w:val="0067235A"/>
    <w:rsid w:val="00672652"/>
    <w:rsid w:val="00672734"/>
    <w:rsid w:val="00672B1D"/>
    <w:rsid w:val="00672C24"/>
    <w:rsid w:val="00673027"/>
    <w:rsid w:val="00673112"/>
    <w:rsid w:val="00673443"/>
    <w:rsid w:val="00673BC4"/>
    <w:rsid w:val="00673C7E"/>
    <w:rsid w:val="006747CA"/>
    <w:rsid w:val="00674A32"/>
    <w:rsid w:val="006754EB"/>
    <w:rsid w:val="0067581C"/>
    <w:rsid w:val="00675DE6"/>
    <w:rsid w:val="00675FD9"/>
    <w:rsid w:val="006764A1"/>
    <w:rsid w:val="0067653E"/>
    <w:rsid w:val="006765DE"/>
    <w:rsid w:val="00676756"/>
    <w:rsid w:val="00676DDC"/>
    <w:rsid w:val="00676FB5"/>
    <w:rsid w:val="00677CFA"/>
    <w:rsid w:val="00677F69"/>
    <w:rsid w:val="0068001B"/>
    <w:rsid w:val="00680907"/>
    <w:rsid w:val="00680DCE"/>
    <w:rsid w:val="00680E54"/>
    <w:rsid w:val="0068128B"/>
    <w:rsid w:val="006816D8"/>
    <w:rsid w:val="00681DA6"/>
    <w:rsid w:val="00681F37"/>
    <w:rsid w:val="00682CFE"/>
    <w:rsid w:val="00682EEE"/>
    <w:rsid w:val="0068363B"/>
    <w:rsid w:val="0068420D"/>
    <w:rsid w:val="00684BF7"/>
    <w:rsid w:val="00684C81"/>
    <w:rsid w:val="00684E58"/>
    <w:rsid w:val="00684E8F"/>
    <w:rsid w:val="006852F7"/>
    <w:rsid w:val="00685574"/>
    <w:rsid w:val="00685CFB"/>
    <w:rsid w:val="006861E7"/>
    <w:rsid w:val="00686239"/>
    <w:rsid w:val="006878B0"/>
    <w:rsid w:val="00687BF4"/>
    <w:rsid w:val="00687E1F"/>
    <w:rsid w:val="006901A7"/>
    <w:rsid w:val="0069054B"/>
    <w:rsid w:val="006912C2"/>
    <w:rsid w:val="0069193D"/>
    <w:rsid w:val="00691944"/>
    <w:rsid w:val="00691ABF"/>
    <w:rsid w:val="00692143"/>
    <w:rsid w:val="006923A6"/>
    <w:rsid w:val="006926C2"/>
    <w:rsid w:val="006928B6"/>
    <w:rsid w:val="00692D8E"/>
    <w:rsid w:val="00692EE7"/>
    <w:rsid w:val="00693D30"/>
    <w:rsid w:val="006940CF"/>
    <w:rsid w:val="00694DF5"/>
    <w:rsid w:val="00695FE4"/>
    <w:rsid w:val="0069617C"/>
    <w:rsid w:val="00696606"/>
    <w:rsid w:val="0069661F"/>
    <w:rsid w:val="00697241"/>
    <w:rsid w:val="006973C3"/>
    <w:rsid w:val="006974DE"/>
    <w:rsid w:val="0069758A"/>
    <w:rsid w:val="00697CF0"/>
    <w:rsid w:val="00697D23"/>
    <w:rsid w:val="00697D6F"/>
    <w:rsid w:val="00697E2C"/>
    <w:rsid w:val="00697EF6"/>
    <w:rsid w:val="006A033C"/>
    <w:rsid w:val="006A0648"/>
    <w:rsid w:val="006A0DF8"/>
    <w:rsid w:val="006A134C"/>
    <w:rsid w:val="006A1638"/>
    <w:rsid w:val="006A1D1D"/>
    <w:rsid w:val="006A2296"/>
    <w:rsid w:val="006A25DB"/>
    <w:rsid w:val="006A2778"/>
    <w:rsid w:val="006A2A82"/>
    <w:rsid w:val="006A3379"/>
    <w:rsid w:val="006A3E24"/>
    <w:rsid w:val="006A4062"/>
    <w:rsid w:val="006A44AC"/>
    <w:rsid w:val="006A512C"/>
    <w:rsid w:val="006A57B6"/>
    <w:rsid w:val="006A5BA4"/>
    <w:rsid w:val="006A5C9F"/>
    <w:rsid w:val="006A6362"/>
    <w:rsid w:val="006A6A99"/>
    <w:rsid w:val="006A6D96"/>
    <w:rsid w:val="006A6FC2"/>
    <w:rsid w:val="006A741E"/>
    <w:rsid w:val="006A755E"/>
    <w:rsid w:val="006A7DB9"/>
    <w:rsid w:val="006A7EC9"/>
    <w:rsid w:val="006B00D0"/>
    <w:rsid w:val="006B0B19"/>
    <w:rsid w:val="006B1059"/>
    <w:rsid w:val="006B10CE"/>
    <w:rsid w:val="006B1231"/>
    <w:rsid w:val="006B12EF"/>
    <w:rsid w:val="006B1654"/>
    <w:rsid w:val="006B192A"/>
    <w:rsid w:val="006B1B08"/>
    <w:rsid w:val="006B1CC2"/>
    <w:rsid w:val="006B2E1F"/>
    <w:rsid w:val="006B3137"/>
    <w:rsid w:val="006B31B4"/>
    <w:rsid w:val="006B31DB"/>
    <w:rsid w:val="006B343B"/>
    <w:rsid w:val="006B3C54"/>
    <w:rsid w:val="006B4528"/>
    <w:rsid w:val="006B4ACD"/>
    <w:rsid w:val="006B4F3E"/>
    <w:rsid w:val="006B54B0"/>
    <w:rsid w:val="006B560D"/>
    <w:rsid w:val="006B57B1"/>
    <w:rsid w:val="006B637B"/>
    <w:rsid w:val="006B6545"/>
    <w:rsid w:val="006B6A86"/>
    <w:rsid w:val="006B7197"/>
    <w:rsid w:val="006B7813"/>
    <w:rsid w:val="006B7BAA"/>
    <w:rsid w:val="006C0029"/>
    <w:rsid w:val="006C0892"/>
    <w:rsid w:val="006C08DC"/>
    <w:rsid w:val="006C12F3"/>
    <w:rsid w:val="006C1473"/>
    <w:rsid w:val="006C252C"/>
    <w:rsid w:val="006C26BB"/>
    <w:rsid w:val="006C2722"/>
    <w:rsid w:val="006C2C80"/>
    <w:rsid w:val="006C2D41"/>
    <w:rsid w:val="006C32FB"/>
    <w:rsid w:val="006C3406"/>
    <w:rsid w:val="006C3693"/>
    <w:rsid w:val="006C3B58"/>
    <w:rsid w:val="006C3C07"/>
    <w:rsid w:val="006C3C9F"/>
    <w:rsid w:val="006C4129"/>
    <w:rsid w:val="006C46C2"/>
    <w:rsid w:val="006C4D3C"/>
    <w:rsid w:val="006C4D9B"/>
    <w:rsid w:val="006C50C4"/>
    <w:rsid w:val="006C5690"/>
    <w:rsid w:val="006C579E"/>
    <w:rsid w:val="006C5A53"/>
    <w:rsid w:val="006C66D5"/>
    <w:rsid w:val="006C7621"/>
    <w:rsid w:val="006C77C9"/>
    <w:rsid w:val="006C78B9"/>
    <w:rsid w:val="006D0335"/>
    <w:rsid w:val="006D0456"/>
    <w:rsid w:val="006D0F2D"/>
    <w:rsid w:val="006D1438"/>
    <w:rsid w:val="006D1592"/>
    <w:rsid w:val="006D2009"/>
    <w:rsid w:val="006D2341"/>
    <w:rsid w:val="006D28B8"/>
    <w:rsid w:val="006D2E1F"/>
    <w:rsid w:val="006D2F33"/>
    <w:rsid w:val="006D3695"/>
    <w:rsid w:val="006D3B1D"/>
    <w:rsid w:val="006D41BD"/>
    <w:rsid w:val="006D45D8"/>
    <w:rsid w:val="006D4603"/>
    <w:rsid w:val="006D57CC"/>
    <w:rsid w:val="006D5ADF"/>
    <w:rsid w:val="006D5E6E"/>
    <w:rsid w:val="006D6841"/>
    <w:rsid w:val="006D68C9"/>
    <w:rsid w:val="006D735A"/>
    <w:rsid w:val="006D7843"/>
    <w:rsid w:val="006D79BC"/>
    <w:rsid w:val="006E0281"/>
    <w:rsid w:val="006E079B"/>
    <w:rsid w:val="006E0AD3"/>
    <w:rsid w:val="006E1116"/>
    <w:rsid w:val="006E1168"/>
    <w:rsid w:val="006E1294"/>
    <w:rsid w:val="006E149C"/>
    <w:rsid w:val="006E15E0"/>
    <w:rsid w:val="006E1EE9"/>
    <w:rsid w:val="006E1F19"/>
    <w:rsid w:val="006E2F6F"/>
    <w:rsid w:val="006E2F99"/>
    <w:rsid w:val="006E3057"/>
    <w:rsid w:val="006E308C"/>
    <w:rsid w:val="006E413D"/>
    <w:rsid w:val="006E5236"/>
    <w:rsid w:val="006E5266"/>
    <w:rsid w:val="006E5A17"/>
    <w:rsid w:val="006E616D"/>
    <w:rsid w:val="006E63DB"/>
    <w:rsid w:val="006E6906"/>
    <w:rsid w:val="006E69A5"/>
    <w:rsid w:val="006E6E0D"/>
    <w:rsid w:val="006E7563"/>
    <w:rsid w:val="006E763C"/>
    <w:rsid w:val="006E7993"/>
    <w:rsid w:val="006F0092"/>
    <w:rsid w:val="006F00D8"/>
    <w:rsid w:val="006F108E"/>
    <w:rsid w:val="006F137C"/>
    <w:rsid w:val="006F13D7"/>
    <w:rsid w:val="006F1941"/>
    <w:rsid w:val="006F19AD"/>
    <w:rsid w:val="006F1C08"/>
    <w:rsid w:val="006F1C4D"/>
    <w:rsid w:val="006F1DC8"/>
    <w:rsid w:val="006F29B2"/>
    <w:rsid w:val="006F2D9A"/>
    <w:rsid w:val="006F30AF"/>
    <w:rsid w:val="006F33DB"/>
    <w:rsid w:val="006F34E9"/>
    <w:rsid w:val="006F3503"/>
    <w:rsid w:val="006F359D"/>
    <w:rsid w:val="006F3FF5"/>
    <w:rsid w:val="006F44FA"/>
    <w:rsid w:val="006F48B5"/>
    <w:rsid w:val="006F4A2D"/>
    <w:rsid w:val="006F4B48"/>
    <w:rsid w:val="006F4B83"/>
    <w:rsid w:val="006F4C5F"/>
    <w:rsid w:val="006F4EC4"/>
    <w:rsid w:val="006F4F4B"/>
    <w:rsid w:val="006F53DC"/>
    <w:rsid w:val="006F5860"/>
    <w:rsid w:val="006F58F0"/>
    <w:rsid w:val="006F6619"/>
    <w:rsid w:val="006F694F"/>
    <w:rsid w:val="006F6BC3"/>
    <w:rsid w:val="006F6D66"/>
    <w:rsid w:val="006F7178"/>
    <w:rsid w:val="00700017"/>
    <w:rsid w:val="0070032F"/>
    <w:rsid w:val="00700692"/>
    <w:rsid w:val="00700726"/>
    <w:rsid w:val="007010A2"/>
    <w:rsid w:val="0070139E"/>
    <w:rsid w:val="00701DB6"/>
    <w:rsid w:val="00701E77"/>
    <w:rsid w:val="0070257F"/>
    <w:rsid w:val="00702A27"/>
    <w:rsid w:val="00703521"/>
    <w:rsid w:val="00703560"/>
    <w:rsid w:val="00704018"/>
    <w:rsid w:val="007040F8"/>
    <w:rsid w:val="007042FD"/>
    <w:rsid w:val="007056B3"/>
    <w:rsid w:val="007057D0"/>
    <w:rsid w:val="00705BD3"/>
    <w:rsid w:val="007067A4"/>
    <w:rsid w:val="00706ADB"/>
    <w:rsid w:val="00707A20"/>
    <w:rsid w:val="00707A52"/>
    <w:rsid w:val="00707D04"/>
    <w:rsid w:val="00707DF4"/>
    <w:rsid w:val="007102C7"/>
    <w:rsid w:val="0071074E"/>
    <w:rsid w:val="007109A5"/>
    <w:rsid w:val="007110A3"/>
    <w:rsid w:val="00711337"/>
    <w:rsid w:val="00711736"/>
    <w:rsid w:val="00711769"/>
    <w:rsid w:val="00711AEF"/>
    <w:rsid w:val="00711C6D"/>
    <w:rsid w:val="00711FA4"/>
    <w:rsid w:val="00711FF4"/>
    <w:rsid w:val="007120EC"/>
    <w:rsid w:val="00712541"/>
    <w:rsid w:val="0071274E"/>
    <w:rsid w:val="00712ADB"/>
    <w:rsid w:val="007135D7"/>
    <w:rsid w:val="007136C5"/>
    <w:rsid w:val="007136F0"/>
    <w:rsid w:val="00714CF6"/>
    <w:rsid w:val="00714D2C"/>
    <w:rsid w:val="0071510C"/>
    <w:rsid w:val="00715D75"/>
    <w:rsid w:val="00715DAD"/>
    <w:rsid w:val="00715E73"/>
    <w:rsid w:val="0071605D"/>
    <w:rsid w:val="0071650B"/>
    <w:rsid w:val="007168AA"/>
    <w:rsid w:val="0071697C"/>
    <w:rsid w:val="00716C3A"/>
    <w:rsid w:val="00717976"/>
    <w:rsid w:val="007179B0"/>
    <w:rsid w:val="0072098B"/>
    <w:rsid w:val="0072108B"/>
    <w:rsid w:val="00721141"/>
    <w:rsid w:val="00721E66"/>
    <w:rsid w:val="00721E8B"/>
    <w:rsid w:val="00722235"/>
    <w:rsid w:val="00722859"/>
    <w:rsid w:val="00722A2E"/>
    <w:rsid w:val="00723563"/>
    <w:rsid w:val="007238A2"/>
    <w:rsid w:val="00723EBA"/>
    <w:rsid w:val="0072560E"/>
    <w:rsid w:val="00725665"/>
    <w:rsid w:val="007257EE"/>
    <w:rsid w:val="00725AC7"/>
    <w:rsid w:val="00725ACA"/>
    <w:rsid w:val="00725D5C"/>
    <w:rsid w:val="00727C1D"/>
    <w:rsid w:val="00727CD3"/>
    <w:rsid w:val="00727D71"/>
    <w:rsid w:val="0073020C"/>
    <w:rsid w:val="0073036E"/>
    <w:rsid w:val="00730578"/>
    <w:rsid w:val="00730B07"/>
    <w:rsid w:val="00730C20"/>
    <w:rsid w:val="00731077"/>
    <w:rsid w:val="00731698"/>
    <w:rsid w:val="00731A7C"/>
    <w:rsid w:val="00731E76"/>
    <w:rsid w:val="0073206F"/>
    <w:rsid w:val="00732483"/>
    <w:rsid w:val="00732A5A"/>
    <w:rsid w:val="00732D7E"/>
    <w:rsid w:val="00732DDA"/>
    <w:rsid w:val="007336B7"/>
    <w:rsid w:val="00733EBE"/>
    <w:rsid w:val="0073419E"/>
    <w:rsid w:val="007344F2"/>
    <w:rsid w:val="00735122"/>
    <w:rsid w:val="0073580B"/>
    <w:rsid w:val="00735A1C"/>
    <w:rsid w:val="00735ADD"/>
    <w:rsid w:val="00736289"/>
    <w:rsid w:val="0073670F"/>
    <w:rsid w:val="007368A5"/>
    <w:rsid w:val="00736A35"/>
    <w:rsid w:val="00736A75"/>
    <w:rsid w:val="00737760"/>
    <w:rsid w:val="00737C74"/>
    <w:rsid w:val="00737EC3"/>
    <w:rsid w:val="00737F1B"/>
    <w:rsid w:val="0074001B"/>
    <w:rsid w:val="00740470"/>
    <w:rsid w:val="007405B5"/>
    <w:rsid w:val="007406C3"/>
    <w:rsid w:val="00741321"/>
    <w:rsid w:val="00741416"/>
    <w:rsid w:val="007418EC"/>
    <w:rsid w:val="00741B72"/>
    <w:rsid w:val="00742936"/>
    <w:rsid w:val="00742AA3"/>
    <w:rsid w:val="00743117"/>
    <w:rsid w:val="00743271"/>
    <w:rsid w:val="007433F9"/>
    <w:rsid w:val="00743720"/>
    <w:rsid w:val="007444B5"/>
    <w:rsid w:val="00744883"/>
    <w:rsid w:val="00744E7B"/>
    <w:rsid w:val="007451C0"/>
    <w:rsid w:val="007455E6"/>
    <w:rsid w:val="007456CD"/>
    <w:rsid w:val="0074575C"/>
    <w:rsid w:val="00745F7C"/>
    <w:rsid w:val="007462E7"/>
    <w:rsid w:val="00746BFE"/>
    <w:rsid w:val="00747064"/>
    <w:rsid w:val="007476F5"/>
    <w:rsid w:val="00747F7F"/>
    <w:rsid w:val="00750F3C"/>
    <w:rsid w:val="00751A14"/>
    <w:rsid w:val="00752279"/>
    <w:rsid w:val="007522C6"/>
    <w:rsid w:val="007524F8"/>
    <w:rsid w:val="007529DD"/>
    <w:rsid w:val="00753761"/>
    <w:rsid w:val="0075395C"/>
    <w:rsid w:val="00753ABA"/>
    <w:rsid w:val="00754332"/>
    <w:rsid w:val="00754992"/>
    <w:rsid w:val="00754A70"/>
    <w:rsid w:val="00754A95"/>
    <w:rsid w:val="00754CEF"/>
    <w:rsid w:val="00754CF6"/>
    <w:rsid w:val="00754D67"/>
    <w:rsid w:val="00754E1B"/>
    <w:rsid w:val="0075501A"/>
    <w:rsid w:val="007550C5"/>
    <w:rsid w:val="007553CA"/>
    <w:rsid w:val="007554E4"/>
    <w:rsid w:val="0075559A"/>
    <w:rsid w:val="00755ECD"/>
    <w:rsid w:val="00756191"/>
    <w:rsid w:val="007562DA"/>
    <w:rsid w:val="00756E4C"/>
    <w:rsid w:val="0076084C"/>
    <w:rsid w:val="00760D0F"/>
    <w:rsid w:val="0076147E"/>
    <w:rsid w:val="007617DC"/>
    <w:rsid w:val="0076198A"/>
    <w:rsid w:val="00761DC2"/>
    <w:rsid w:val="007629A1"/>
    <w:rsid w:val="00763B7F"/>
    <w:rsid w:val="0076418E"/>
    <w:rsid w:val="00764324"/>
    <w:rsid w:val="0076482A"/>
    <w:rsid w:val="00764A5C"/>
    <w:rsid w:val="00764C3A"/>
    <w:rsid w:val="00764CCD"/>
    <w:rsid w:val="00764F53"/>
    <w:rsid w:val="00765122"/>
    <w:rsid w:val="007651A4"/>
    <w:rsid w:val="007656C3"/>
    <w:rsid w:val="00765EEB"/>
    <w:rsid w:val="007667EB"/>
    <w:rsid w:val="007671CA"/>
    <w:rsid w:val="007674B3"/>
    <w:rsid w:val="00767B33"/>
    <w:rsid w:val="00767EEF"/>
    <w:rsid w:val="00770312"/>
    <w:rsid w:val="00770620"/>
    <w:rsid w:val="007707DA"/>
    <w:rsid w:val="007708E2"/>
    <w:rsid w:val="007709F1"/>
    <w:rsid w:val="00770C7D"/>
    <w:rsid w:val="00770DA9"/>
    <w:rsid w:val="0077129F"/>
    <w:rsid w:val="00771BCB"/>
    <w:rsid w:val="00771C39"/>
    <w:rsid w:val="00771C74"/>
    <w:rsid w:val="0077250E"/>
    <w:rsid w:val="0077284D"/>
    <w:rsid w:val="00773202"/>
    <w:rsid w:val="00774190"/>
    <w:rsid w:val="007744F2"/>
    <w:rsid w:val="00774909"/>
    <w:rsid w:val="00774B33"/>
    <w:rsid w:val="00774CA7"/>
    <w:rsid w:val="0077559F"/>
    <w:rsid w:val="00775A9F"/>
    <w:rsid w:val="00775AAB"/>
    <w:rsid w:val="00776E06"/>
    <w:rsid w:val="00777809"/>
    <w:rsid w:val="007800DA"/>
    <w:rsid w:val="00780A90"/>
    <w:rsid w:val="00781059"/>
    <w:rsid w:val="00781080"/>
    <w:rsid w:val="00781278"/>
    <w:rsid w:val="00781A0C"/>
    <w:rsid w:val="00781A20"/>
    <w:rsid w:val="00782996"/>
    <w:rsid w:val="00782A8C"/>
    <w:rsid w:val="00782AA5"/>
    <w:rsid w:val="00782E46"/>
    <w:rsid w:val="007833CA"/>
    <w:rsid w:val="0078378B"/>
    <w:rsid w:val="0078393F"/>
    <w:rsid w:val="00783A53"/>
    <w:rsid w:val="00783D1B"/>
    <w:rsid w:val="00784030"/>
    <w:rsid w:val="007841B0"/>
    <w:rsid w:val="007842FB"/>
    <w:rsid w:val="00784448"/>
    <w:rsid w:val="00784514"/>
    <w:rsid w:val="0078496C"/>
    <w:rsid w:val="00784D5B"/>
    <w:rsid w:val="00784E9A"/>
    <w:rsid w:val="00785056"/>
    <w:rsid w:val="007851C2"/>
    <w:rsid w:val="007854C3"/>
    <w:rsid w:val="007856AC"/>
    <w:rsid w:val="007858DA"/>
    <w:rsid w:val="007861F5"/>
    <w:rsid w:val="00786399"/>
    <w:rsid w:val="007866FE"/>
    <w:rsid w:val="007869BE"/>
    <w:rsid w:val="007870C2"/>
    <w:rsid w:val="00787DE1"/>
    <w:rsid w:val="007901EC"/>
    <w:rsid w:val="0079021C"/>
    <w:rsid w:val="0079029A"/>
    <w:rsid w:val="0079046C"/>
    <w:rsid w:val="00791130"/>
    <w:rsid w:val="00791239"/>
    <w:rsid w:val="0079130F"/>
    <w:rsid w:val="00791E76"/>
    <w:rsid w:val="007926EE"/>
    <w:rsid w:val="00792818"/>
    <w:rsid w:val="00792CDF"/>
    <w:rsid w:val="007930DE"/>
    <w:rsid w:val="00793658"/>
    <w:rsid w:val="00793932"/>
    <w:rsid w:val="00793A49"/>
    <w:rsid w:val="007943BF"/>
    <w:rsid w:val="0079465F"/>
    <w:rsid w:val="0079475E"/>
    <w:rsid w:val="00794DB1"/>
    <w:rsid w:val="007955D2"/>
    <w:rsid w:val="00795802"/>
    <w:rsid w:val="00795BE0"/>
    <w:rsid w:val="007962E4"/>
    <w:rsid w:val="007963EF"/>
    <w:rsid w:val="0079703B"/>
    <w:rsid w:val="007979BA"/>
    <w:rsid w:val="00797C44"/>
    <w:rsid w:val="00797E50"/>
    <w:rsid w:val="00797ED0"/>
    <w:rsid w:val="007A0133"/>
    <w:rsid w:val="007A02DA"/>
    <w:rsid w:val="007A037E"/>
    <w:rsid w:val="007A0F22"/>
    <w:rsid w:val="007A0F3B"/>
    <w:rsid w:val="007A1927"/>
    <w:rsid w:val="007A1B54"/>
    <w:rsid w:val="007A1BE8"/>
    <w:rsid w:val="007A1C36"/>
    <w:rsid w:val="007A1FF6"/>
    <w:rsid w:val="007A212A"/>
    <w:rsid w:val="007A2C93"/>
    <w:rsid w:val="007A2E56"/>
    <w:rsid w:val="007A34A7"/>
    <w:rsid w:val="007A3590"/>
    <w:rsid w:val="007A3810"/>
    <w:rsid w:val="007A381B"/>
    <w:rsid w:val="007A3860"/>
    <w:rsid w:val="007A38D2"/>
    <w:rsid w:val="007A3D02"/>
    <w:rsid w:val="007A4143"/>
    <w:rsid w:val="007A4782"/>
    <w:rsid w:val="007A4BB3"/>
    <w:rsid w:val="007A4ECC"/>
    <w:rsid w:val="007A5805"/>
    <w:rsid w:val="007A69AD"/>
    <w:rsid w:val="007A6AEA"/>
    <w:rsid w:val="007A6D93"/>
    <w:rsid w:val="007A7388"/>
    <w:rsid w:val="007A7955"/>
    <w:rsid w:val="007A7AC3"/>
    <w:rsid w:val="007A7CA7"/>
    <w:rsid w:val="007A7E72"/>
    <w:rsid w:val="007A7ECE"/>
    <w:rsid w:val="007B09C0"/>
    <w:rsid w:val="007B0FDA"/>
    <w:rsid w:val="007B116C"/>
    <w:rsid w:val="007B117B"/>
    <w:rsid w:val="007B1735"/>
    <w:rsid w:val="007B1747"/>
    <w:rsid w:val="007B186D"/>
    <w:rsid w:val="007B2297"/>
    <w:rsid w:val="007B23E1"/>
    <w:rsid w:val="007B2647"/>
    <w:rsid w:val="007B279C"/>
    <w:rsid w:val="007B2DE1"/>
    <w:rsid w:val="007B2E8C"/>
    <w:rsid w:val="007B350A"/>
    <w:rsid w:val="007B3956"/>
    <w:rsid w:val="007B39FD"/>
    <w:rsid w:val="007B3D68"/>
    <w:rsid w:val="007B3F7A"/>
    <w:rsid w:val="007B40AA"/>
    <w:rsid w:val="007B4A33"/>
    <w:rsid w:val="007B4B42"/>
    <w:rsid w:val="007B4D05"/>
    <w:rsid w:val="007B5458"/>
    <w:rsid w:val="007B5531"/>
    <w:rsid w:val="007B5A9D"/>
    <w:rsid w:val="007B64AC"/>
    <w:rsid w:val="007B6CCA"/>
    <w:rsid w:val="007B70EC"/>
    <w:rsid w:val="007B779B"/>
    <w:rsid w:val="007C0397"/>
    <w:rsid w:val="007C0D21"/>
    <w:rsid w:val="007C11C5"/>
    <w:rsid w:val="007C130E"/>
    <w:rsid w:val="007C180F"/>
    <w:rsid w:val="007C1DB5"/>
    <w:rsid w:val="007C2392"/>
    <w:rsid w:val="007C2421"/>
    <w:rsid w:val="007C3180"/>
    <w:rsid w:val="007C31EC"/>
    <w:rsid w:val="007C3CA5"/>
    <w:rsid w:val="007C3F9B"/>
    <w:rsid w:val="007C4027"/>
    <w:rsid w:val="007C4105"/>
    <w:rsid w:val="007C48BB"/>
    <w:rsid w:val="007C4B4E"/>
    <w:rsid w:val="007C56E5"/>
    <w:rsid w:val="007C63A3"/>
    <w:rsid w:val="007C657A"/>
    <w:rsid w:val="007C6CB4"/>
    <w:rsid w:val="007C6ED6"/>
    <w:rsid w:val="007C73CB"/>
    <w:rsid w:val="007C75BB"/>
    <w:rsid w:val="007D0348"/>
    <w:rsid w:val="007D068E"/>
    <w:rsid w:val="007D12CC"/>
    <w:rsid w:val="007D15FC"/>
    <w:rsid w:val="007D1A80"/>
    <w:rsid w:val="007D1B5B"/>
    <w:rsid w:val="007D1CDF"/>
    <w:rsid w:val="007D276F"/>
    <w:rsid w:val="007D3198"/>
    <w:rsid w:val="007D357D"/>
    <w:rsid w:val="007D3ADC"/>
    <w:rsid w:val="007D5301"/>
    <w:rsid w:val="007D5A46"/>
    <w:rsid w:val="007D5CEF"/>
    <w:rsid w:val="007D605D"/>
    <w:rsid w:val="007D63ED"/>
    <w:rsid w:val="007D6A1C"/>
    <w:rsid w:val="007D6D1D"/>
    <w:rsid w:val="007D7462"/>
    <w:rsid w:val="007D7EBF"/>
    <w:rsid w:val="007E03A2"/>
    <w:rsid w:val="007E067C"/>
    <w:rsid w:val="007E09E8"/>
    <w:rsid w:val="007E0B39"/>
    <w:rsid w:val="007E0C9D"/>
    <w:rsid w:val="007E0DC9"/>
    <w:rsid w:val="007E12D7"/>
    <w:rsid w:val="007E1686"/>
    <w:rsid w:val="007E1ABA"/>
    <w:rsid w:val="007E22BD"/>
    <w:rsid w:val="007E297F"/>
    <w:rsid w:val="007E3199"/>
    <w:rsid w:val="007E31D9"/>
    <w:rsid w:val="007E36DB"/>
    <w:rsid w:val="007E36FA"/>
    <w:rsid w:val="007E3785"/>
    <w:rsid w:val="007E3B70"/>
    <w:rsid w:val="007E3D9D"/>
    <w:rsid w:val="007E4236"/>
    <w:rsid w:val="007E42F3"/>
    <w:rsid w:val="007E480F"/>
    <w:rsid w:val="007E5278"/>
    <w:rsid w:val="007E561A"/>
    <w:rsid w:val="007E6135"/>
    <w:rsid w:val="007E61EB"/>
    <w:rsid w:val="007E6760"/>
    <w:rsid w:val="007E6EC1"/>
    <w:rsid w:val="007E6FF2"/>
    <w:rsid w:val="007E70FF"/>
    <w:rsid w:val="007E77C4"/>
    <w:rsid w:val="007F00F4"/>
    <w:rsid w:val="007F0A78"/>
    <w:rsid w:val="007F11E2"/>
    <w:rsid w:val="007F1942"/>
    <w:rsid w:val="007F2067"/>
    <w:rsid w:val="007F20E4"/>
    <w:rsid w:val="007F246D"/>
    <w:rsid w:val="007F24B3"/>
    <w:rsid w:val="007F2C82"/>
    <w:rsid w:val="007F2E2C"/>
    <w:rsid w:val="007F33FF"/>
    <w:rsid w:val="007F34B5"/>
    <w:rsid w:val="007F34F4"/>
    <w:rsid w:val="007F36F0"/>
    <w:rsid w:val="007F3BF1"/>
    <w:rsid w:val="007F413A"/>
    <w:rsid w:val="007F41DC"/>
    <w:rsid w:val="007F43D6"/>
    <w:rsid w:val="007F44E2"/>
    <w:rsid w:val="007F484B"/>
    <w:rsid w:val="007F4B0E"/>
    <w:rsid w:val="007F53CB"/>
    <w:rsid w:val="007F5475"/>
    <w:rsid w:val="007F5565"/>
    <w:rsid w:val="007F5E49"/>
    <w:rsid w:val="007F7167"/>
    <w:rsid w:val="007F739F"/>
    <w:rsid w:val="007F76CC"/>
    <w:rsid w:val="007F76CE"/>
    <w:rsid w:val="007F77CD"/>
    <w:rsid w:val="008009B2"/>
    <w:rsid w:val="008009C3"/>
    <w:rsid w:val="008009E5"/>
    <w:rsid w:val="00800A33"/>
    <w:rsid w:val="00800BA0"/>
    <w:rsid w:val="00801374"/>
    <w:rsid w:val="008018FF"/>
    <w:rsid w:val="00801C22"/>
    <w:rsid w:val="00802274"/>
    <w:rsid w:val="00802913"/>
    <w:rsid w:val="00803067"/>
    <w:rsid w:val="00803E4C"/>
    <w:rsid w:val="00804010"/>
    <w:rsid w:val="008041DE"/>
    <w:rsid w:val="00804204"/>
    <w:rsid w:val="0080422E"/>
    <w:rsid w:val="0080481F"/>
    <w:rsid w:val="00804D75"/>
    <w:rsid w:val="00804FDB"/>
    <w:rsid w:val="00805F05"/>
    <w:rsid w:val="0080619F"/>
    <w:rsid w:val="0080634C"/>
    <w:rsid w:val="008064B2"/>
    <w:rsid w:val="008067A1"/>
    <w:rsid w:val="00806AAC"/>
    <w:rsid w:val="00806FC9"/>
    <w:rsid w:val="00806FF8"/>
    <w:rsid w:val="008072D8"/>
    <w:rsid w:val="008076B5"/>
    <w:rsid w:val="00807AE2"/>
    <w:rsid w:val="00807C60"/>
    <w:rsid w:val="0081108A"/>
    <w:rsid w:val="00811A7E"/>
    <w:rsid w:val="00811EDB"/>
    <w:rsid w:val="008126C5"/>
    <w:rsid w:val="00812829"/>
    <w:rsid w:val="0081364C"/>
    <w:rsid w:val="00813927"/>
    <w:rsid w:val="00813B63"/>
    <w:rsid w:val="00813E35"/>
    <w:rsid w:val="00813F6A"/>
    <w:rsid w:val="0081409E"/>
    <w:rsid w:val="0081414D"/>
    <w:rsid w:val="00814E6B"/>
    <w:rsid w:val="00815095"/>
    <w:rsid w:val="00815104"/>
    <w:rsid w:val="008151CE"/>
    <w:rsid w:val="008157AC"/>
    <w:rsid w:val="008158FC"/>
    <w:rsid w:val="00815944"/>
    <w:rsid w:val="008159D3"/>
    <w:rsid w:val="00815AFF"/>
    <w:rsid w:val="00816041"/>
    <w:rsid w:val="00816700"/>
    <w:rsid w:val="008167A0"/>
    <w:rsid w:val="00816F72"/>
    <w:rsid w:val="0081723A"/>
    <w:rsid w:val="00817677"/>
    <w:rsid w:val="00817DD6"/>
    <w:rsid w:val="00817E3D"/>
    <w:rsid w:val="008202C6"/>
    <w:rsid w:val="00821A1E"/>
    <w:rsid w:val="00821ADD"/>
    <w:rsid w:val="00821D40"/>
    <w:rsid w:val="00821F07"/>
    <w:rsid w:val="00821F2F"/>
    <w:rsid w:val="008220F9"/>
    <w:rsid w:val="00822131"/>
    <w:rsid w:val="00822515"/>
    <w:rsid w:val="008228A7"/>
    <w:rsid w:val="008230C3"/>
    <w:rsid w:val="0082331F"/>
    <w:rsid w:val="008235B9"/>
    <w:rsid w:val="008238CD"/>
    <w:rsid w:val="00823C48"/>
    <w:rsid w:val="00823E0D"/>
    <w:rsid w:val="0082451B"/>
    <w:rsid w:val="008246AD"/>
    <w:rsid w:val="008247C5"/>
    <w:rsid w:val="008248EF"/>
    <w:rsid w:val="0082491D"/>
    <w:rsid w:val="0082493E"/>
    <w:rsid w:val="00824942"/>
    <w:rsid w:val="00824BE2"/>
    <w:rsid w:val="00825AED"/>
    <w:rsid w:val="00825D73"/>
    <w:rsid w:val="00826147"/>
    <w:rsid w:val="00826282"/>
    <w:rsid w:val="008264A3"/>
    <w:rsid w:val="008269CA"/>
    <w:rsid w:val="00826BCD"/>
    <w:rsid w:val="00827741"/>
    <w:rsid w:val="00827E9E"/>
    <w:rsid w:val="00830963"/>
    <w:rsid w:val="008309DA"/>
    <w:rsid w:val="00830B7F"/>
    <w:rsid w:val="00831466"/>
    <w:rsid w:val="00831A02"/>
    <w:rsid w:val="00831B00"/>
    <w:rsid w:val="00832046"/>
    <w:rsid w:val="00832336"/>
    <w:rsid w:val="00832518"/>
    <w:rsid w:val="00833C7B"/>
    <w:rsid w:val="00833E05"/>
    <w:rsid w:val="008345B3"/>
    <w:rsid w:val="00834943"/>
    <w:rsid w:val="00834F2B"/>
    <w:rsid w:val="00835274"/>
    <w:rsid w:val="008352E8"/>
    <w:rsid w:val="00835540"/>
    <w:rsid w:val="00835BED"/>
    <w:rsid w:val="008364BB"/>
    <w:rsid w:val="00836904"/>
    <w:rsid w:val="00836D9A"/>
    <w:rsid w:val="00836F3D"/>
    <w:rsid w:val="0083734F"/>
    <w:rsid w:val="00837823"/>
    <w:rsid w:val="008379E8"/>
    <w:rsid w:val="00837BA0"/>
    <w:rsid w:val="00837F3B"/>
    <w:rsid w:val="008402D2"/>
    <w:rsid w:val="008408AE"/>
    <w:rsid w:val="00841D26"/>
    <w:rsid w:val="00841E85"/>
    <w:rsid w:val="00841EB7"/>
    <w:rsid w:val="008422C8"/>
    <w:rsid w:val="0084286D"/>
    <w:rsid w:val="00842AEC"/>
    <w:rsid w:val="0084302F"/>
    <w:rsid w:val="0084328F"/>
    <w:rsid w:val="00843368"/>
    <w:rsid w:val="0084345E"/>
    <w:rsid w:val="008434E7"/>
    <w:rsid w:val="008435A9"/>
    <w:rsid w:val="0084373A"/>
    <w:rsid w:val="00843BA7"/>
    <w:rsid w:val="0084417A"/>
    <w:rsid w:val="00844860"/>
    <w:rsid w:val="00844DCD"/>
    <w:rsid w:val="00845A00"/>
    <w:rsid w:val="00845C55"/>
    <w:rsid w:val="0084654F"/>
    <w:rsid w:val="00846775"/>
    <w:rsid w:val="00846E1B"/>
    <w:rsid w:val="008470BA"/>
    <w:rsid w:val="0084753F"/>
    <w:rsid w:val="0084760C"/>
    <w:rsid w:val="00850BE8"/>
    <w:rsid w:val="00851111"/>
    <w:rsid w:val="00851315"/>
    <w:rsid w:val="00851480"/>
    <w:rsid w:val="008517FA"/>
    <w:rsid w:val="00851F3F"/>
    <w:rsid w:val="0085232B"/>
    <w:rsid w:val="008526AF"/>
    <w:rsid w:val="00852AC1"/>
    <w:rsid w:val="00852EEF"/>
    <w:rsid w:val="008532B3"/>
    <w:rsid w:val="008538A1"/>
    <w:rsid w:val="00853B14"/>
    <w:rsid w:val="00853BB2"/>
    <w:rsid w:val="00853DA9"/>
    <w:rsid w:val="0085437F"/>
    <w:rsid w:val="00854D7C"/>
    <w:rsid w:val="00855286"/>
    <w:rsid w:val="0085571C"/>
    <w:rsid w:val="0085582D"/>
    <w:rsid w:val="00856563"/>
    <w:rsid w:val="0085666F"/>
    <w:rsid w:val="0085685E"/>
    <w:rsid w:val="00856894"/>
    <w:rsid w:val="008569FA"/>
    <w:rsid w:val="00856D39"/>
    <w:rsid w:val="00856FFD"/>
    <w:rsid w:val="00857687"/>
    <w:rsid w:val="00857D40"/>
    <w:rsid w:val="0086039B"/>
    <w:rsid w:val="00861190"/>
    <w:rsid w:val="00861734"/>
    <w:rsid w:val="008617D4"/>
    <w:rsid w:val="00861A2E"/>
    <w:rsid w:val="00862900"/>
    <w:rsid w:val="00862A4D"/>
    <w:rsid w:val="00862CEB"/>
    <w:rsid w:val="00862D54"/>
    <w:rsid w:val="00862DE5"/>
    <w:rsid w:val="00862E61"/>
    <w:rsid w:val="0086310D"/>
    <w:rsid w:val="008631CA"/>
    <w:rsid w:val="00863546"/>
    <w:rsid w:val="00863C8F"/>
    <w:rsid w:val="00863CD1"/>
    <w:rsid w:val="00863FE4"/>
    <w:rsid w:val="0086427C"/>
    <w:rsid w:val="00864B10"/>
    <w:rsid w:val="00865E7D"/>
    <w:rsid w:val="0086655E"/>
    <w:rsid w:val="00866D60"/>
    <w:rsid w:val="00866F77"/>
    <w:rsid w:val="00867122"/>
    <w:rsid w:val="008674C3"/>
    <w:rsid w:val="00870220"/>
    <w:rsid w:val="008706B6"/>
    <w:rsid w:val="008706D3"/>
    <w:rsid w:val="008707BC"/>
    <w:rsid w:val="00870865"/>
    <w:rsid w:val="0087090D"/>
    <w:rsid w:val="00870EFD"/>
    <w:rsid w:val="008719F3"/>
    <w:rsid w:val="00871C39"/>
    <w:rsid w:val="00871FBC"/>
    <w:rsid w:val="00872101"/>
    <w:rsid w:val="00872231"/>
    <w:rsid w:val="00872BC1"/>
    <w:rsid w:val="0087314E"/>
    <w:rsid w:val="00873354"/>
    <w:rsid w:val="00873497"/>
    <w:rsid w:val="008736E0"/>
    <w:rsid w:val="0087397A"/>
    <w:rsid w:val="00873AF1"/>
    <w:rsid w:val="00873BF8"/>
    <w:rsid w:val="00873DCA"/>
    <w:rsid w:val="0087422C"/>
    <w:rsid w:val="00874302"/>
    <w:rsid w:val="008748D4"/>
    <w:rsid w:val="00874B4A"/>
    <w:rsid w:val="00874CE7"/>
    <w:rsid w:val="00874D76"/>
    <w:rsid w:val="00874E03"/>
    <w:rsid w:val="0087514A"/>
    <w:rsid w:val="008751F1"/>
    <w:rsid w:val="00875BFF"/>
    <w:rsid w:val="00875C52"/>
    <w:rsid w:val="00875E31"/>
    <w:rsid w:val="00876064"/>
    <w:rsid w:val="00877631"/>
    <w:rsid w:val="00877C7C"/>
    <w:rsid w:val="00877FE5"/>
    <w:rsid w:val="008804C1"/>
    <w:rsid w:val="0088066F"/>
    <w:rsid w:val="008809AB"/>
    <w:rsid w:val="00880BF5"/>
    <w:rsid w:val="00881A32"/>
    <w:rsid w:val="00881AE2"/>
    <w:rsid w:val="00881C5D"/>
    <w:rsid w:val="00881DF9"/>
    <w:rsid w:val="00881E8D"/>
    <w:rsid w:val="008823F3"/>
    <w:rsid w:val="00882437"/>
    <w:rsid w:val="0088246F"/>
    <w:rsid w:val="0088257C"/>
    <w:rsid w:val="00883DC8"/>
    <w:rsid w:val="00884C79"/>
    <w:rsid w:val="00884DC0"/>
    <w:rsid w:val="008855F1"/>
    <w:rsid w:val="00885987"/>
    <w:rsid w:val="00885A0B"/>
    <w:rsid w:val="00885DE2"/>
    <w:rsid w:val="00886349"/>
    <w:rsid w:val="0088678B"/>
    <w:rsid w:val="00886C5A"/>
    <w:rsid w:val="00886D98"/>
    <w:rsid w:val="00886EBD"/>
    <w:rsid w:val="00887031"/>
    <w:rsid w:val="008873A1"/>
    <w:rsid w:val="00887411"/>
    <w:rsid w:val="00887418"/>
    <w:rsid w:val="00887E97"/>
    <w:rsid w:val="008905B9"/>
    <w:rsid w:val="00890DEF"/>
    <w:rsid w:val="0089121F"/>
    <w:rsid w:val="0089122D"/>
    <w:rsid w:val="00891A54"/>
    <w:rsid w:val="00891DC5"/>
    <w:rsid w:val="00892564"/>
    <w:rsid w:val="008930EC"/>
    <w:rsid w:val="008933E7"/>
    <w:rsid w:val="0089343E"/>
    <w:rsid w:val="008934E7"/>
    <w:rsid w:val="00894945"/>
    <w:rsid w:val="008949DD"/>
    <w:rsid w:val="00894A05"/>
    <w:rsid w:val="00894C77"/>
    <w:rsid w:val="008951D1"/>
    <w:rsid w:val="0089569A"/>
    <w:rsid w:val="00895A65"/>
    <w:rsid w:val="00895C63"/>
    <w:rsid w:val="00895D99"/>
    <w:rsid w:val="00896837"/>
    <w:rsid w:val="00896AA2"/>
    <w:rsid w:val="00897267"/>
    <w:rsid w:val="0089798F"/>
    <w:rsid w:val="00897E92"/>
    <w:rsid w:val="008A069F"/>
    <w:rsid w:val="008A0A66"/>
    <w:rsid w:val="008A0F21"/>
    <w:rsid w:val="008A1591"/>
    <w:rsid w:val="008A1669"/>
    <w:rsid w:val="008A167A"/>
    <w:rsid w:val="008A189B"/>
    <w:rsid w:val="008A1A82"/>
    <w:rsid w:val="008A1AA2"/>
    <w:rsid w:val="008A2BB1"/>
    <w:rsid w:val="008A2C31"/>
    <w:rsid w:val="008A2C37"/>
    <w:rsid w:val="008A3159"/>
    <w:rsid w:val="008A3429"/>
    <w:rsid w:val="008A34AD"/>
    <w:rsid w:val="008A392D"/>
    <w:rsid w:val="008A4680"/>
    <w:rsid w:val="008A4801"/>
    <w:rsid w:val="008A4C4F"/>
    <w:rsid w:val="008A5580"/>
    <w:rsid w:val="008A579B"/>
    <w:rsid w:val="008A5B5D"/>
    <w:rsid w:val="008A5E65"/>
    <w:rsid w:val="008A5F6B"/>
    <w:rsid w:val="008A60C1"/>
    <w:rsid w:val="008A6816"/>
    <w:rsid w:val="008A687B"/>
    <w:rsid w:val="008A6C4E"/>
    <w:rsid w:val="008A6D2B"/>
    <w:rsid w:val="008A7058"/>
    <w:rsid w:val="008A754C"/>
    <w:rsid w:val="008A7C53"/>
    <w:rsid w:val="008B01D9"/>
    <w:rsid w:val="008B0201"/>
    <w:rsid w:val="008B0335"/>
    <w:rsid w:val="008B09B7"/>
    <w:rsid w:val="008B0AD0"/>
    <w:rsid w:val="008B0DE4"/>
    <w:rsid w:val="008B187D"/>
    <w:rsid w:val="008B1C38"/>
    <w:rsid w:val="008B1EF0"/>
    <w:rsid w:val="008B2225"/>
    <w:rsid w:val="008B2762"/>
    <w:rsid w:val="008B2E75"/>
    <w:rsid w:val="008B2F30"/>
    <w:rsid w:val="008B3096"/>
    <w:rsid w:val="008B3283"/>
    <w:rsid w:val="008B3A56"/>
    <w:rsid w:val="008B3A70"/>
    <w:rsid w:val="008B4407"/>
    <w:rsid w:val="008B44B9"/>
    <w:rsid w:val="008B660F"/>
    <w:rsid w:val="008B6DB3"/>
    <w:rsid w:val="008B7487"/>
    <w:rsid w:val="008B7B85"/>
    <w:rsid w:val="008C01CA"/>
    <w:rsid w:val="008C1322"/>
    <w:rsid w:val="008C1806"/>
    <w:rsid w:val="008C18FC"/>
    <w:rsid w:val="008C2001"/>
    <w:rsid w:val="008C2014"/>
    <w:rsid w:val="008C21A7"/>
    <w:rsid w:val="008C236F"/>
    <w:rsid w:val="008C2518"/>
    <w:rsid w:val="008C2701"/>
    <w:rsid w:val="008C2ADF"/>
    <w:rsid w:val="008C2D1D"/>
    <w:rsid w:val="008C35C7"/>
    <w:rsid w:val="008C35D5"/>
    <w:rsid w:val="008C38E9"/>
    <w:rsid w:val="008C3A11"/>
    <w:rsid w:val="008C3E42"/>
    <w:rsid w:val="008C4233"/>
    <w:rsid w:val="008C4AAE"/>
    <w:rsid w:val="008C5216"/>
    <w:rsid w:val="008C56DD"/>
    <w:rsid w:val="008C57F6"/>
    <w:rsid w:val="008C5A8B"/>
    <w:rsid w:val="008C5E71"/>
    <w:rsid w:val="008C60E3"/>
    <w:rsid w:val="008C618A"/>
    <w:rsid w:val="008C6581"/>
    <w:rsid w:val="008C67BE"/>
    <w:rsid w:val="008C6862"/>
    <w:rsid w:val="008C6B94"/>
    <w:rsid w:val="008C6FB5"/>
    <w:rsid w:val="008C7499"/>
    <w:rsid w:val="008C76A4"/>
    <w:rsid w:val="008C76A6"/>
    <w:rsid w:val="008C7EEB"/>
    <w:rsid w:val="008D0189"/>
    <w:rsid w:val="008D02BC"/>
    <w:rsid w:val="008D0908"/>
    <w:rsid w:val="008D0BE9"/>
    <w:rsid w:val="008D0CCD"/>
    <w:rsid w:val="008D10DA"/>
    <w:rsid w:val="008D1381"/>
    <w:rsid w:val="008D17C3"/>
    <w:rsid w:val="008D19F7"/>
    <w:rsid w:val="008D1E99"/>
    <w:rsid w:val="008D23C5"/>
    <w:rsid w:val="008D2630"/>
    <w:rsid w:val="008D2B63"/>
    <w:rsid w:val="008D2E90"/>
    <w:rsid w:val="008D36D2"/>
    <w:rsid w:val="008D3AFF"/>
    <w:rsid w:val="008D3C3A"/>
    <w:rsid w:val="008D3CD6"/>
    <w:rsid w:val="008D4151"/>
    <w:rsid w:val="008D46C0"/>
    <w:rsid w:val="008D48DA"/>
    <w:rsid w:val="008D4947"/>
    <w:rsid w:val="008D4A05"/>
    <w:rsid w:val="008D4C14"/>
    <w:rsid w:val="008D5865"/>
    <w:rsid w:val="008D5931"/>
    <w:rsid w:val="008D5C4C"/>
    <w:rsid w:val="008D61D1"/>
    <w:rsid w:val="008D6966"/>
    <w:rsid w:val="008D6A16"/>
    <w:rsid w:val="008D6B00"/>
    <w:rsid w:val="008D6D2F"/>
    <w:rsid w:val="008D7B94"/>
    <w:rsid w:val="008D7C2F"/>
    <w:rsid w:val="008D7D89"/>
    <w:rsid w:val="008D7E5B"/>
    <w:rsid w:val="008E062C"/>
    <w:rsid w:val="008E0929"/>
    <w:rsid w:val="008E0A95"/>
    <w:rsid w:val="008E0BA8"/>
    <w:rsid w:val="008E18C0"/>
    <w:rsid w:val="008E1ACF"/>
    <w:rsid w:val="008E2262"/>
    <w:rsid w:val="008E22E5"/>
    <w:rsid w:val="008E266F"/>
    <w:rsid w:val="008E2BDD"/>
    <w:rsid w:val="008E33D7"/>
    <w:rsid w:val="008E35EB"/>
    <w:rsid w:val="008E37EA"/>
    <w:rsid w:val="008E3B94"/>
    <w:rsid w:val="008E3ED3"/>
    <w:rsid w:val="008E4318"/>
    <w:rsid w:val="008E4F0C"/>
    <w:rsid w:val="008E539B"/>
    <w:rsid w:val="008E551F"/>
    <w:rsid w:val="008E5673"/>
    <w:rsid w:val="008E57FF"/>
    <w:rsid w:val="008E5D9C"/>
    <w:rsid w:val="008E6C9B"/>
    <w:rsid w:val="008E753B"/>
    <w:rsid w:val="008E782C"/>
    <w:rsid w:val="008E7956"/>
    <w:rsid w:val="008E7D85"/>
    <w:rsid w:val="008E7E35"/>
    <w:rsid w:val="008F06F2"/>
    <w:rsid w:val="008F110C"/>
    <w:rsid w:val="008F157C"/>
    <w:rsid w:val="008F15D5"/>
    <w:rsid w:val="008F1BCC"/>
    <w:rsid w:val="008F1D14"/>
    <w:rsid w:val="008F23AE"/>
    <w:rsid w:val="008F23D1"/>
    <w:rsid w:val="008F2E3B"/>
    <w:rsid w:val="008F300E"/>
    <w:rsid w:val="008F3192"/>
    <w:rsid w:val="008F31C2"/>
    <w:rsid w:val="008F337E"/>
    <w:rsid w:val="008F3EB8"/>
    <w:rsid w:val="008F3FB0"/>
    <w:rsid w:val="008F44EB"/>
    <w:rsid w:val="008F4616"/>
    <w:rsid w:val="008F4C96"/>
    <w:rsid w:val="008F5310"/>
    <w:rsid w:val="008F5A05"/>
    <w:rsid w:val="008F60A3"/>
    <w:rsid w:val="008F60F8"/>
    <w:rsid w:val="008F611B"/>
    <w:rsid w:val="008F6231"/>
    <w:rsid w:val="008F6973"/>
    <w:rsid w:val="008F69CD"/>
    <w:rsid w:val="008F6C93"/>
    <w:rsid w:val="008F7A3A"/>
    <w:rsid w:val="008F7C77"/>
    <w:rsid w:val="008F7F84"/>
    <w:rsid w:val="008F7FB7"/>
    <w:rsid w:val="009000FA"/>
    <w:rsid w:val="0090031B"/>
    <w:rsid w:val="00900BC4"/>
    <w:rsid w:val="00900BC9"/>
    <w:rsid w:val="00900E30"/>
    <w:rsid w:val="0090130A"/>
    <w:rsid w:val="00901452"/>
    <w:rsid w:val="00901C7C"/>
    <w:rsid w:val="00902904"/>
    <w:rsid w:val="00902B0C"/>
    <w:rsid w:val="0090317D"/>
    <w:rsid w:val="009032AB"/>
    <w:rsid w:val="009032E9"/>
    <w:rsid w:val="009033DB"/>
    <w:rsid w:val="00903743"/>
    <w:rsid w:val="00903C35"/>
    <w:rsid w:val="00903E17"/>
    <w:rsid w:val="00903EED"/>
    <w:rsid w:val="00904933"/>
    <w:rsid w:val="00904A9A"/>
    <w:rsid w:val="00905523"/>
    <w:rsid w:val="00905AB7"/>
    <w:rsid w:val="00905B9A"/>
    <w:rsid w:val="00905E3A"/>
    <w:rsid w:val="00906311"/>
    <w:rsid w:val="0090676A"/>
    <w:rsid w:val="00906945"/>
    <w:rsid w:val="0090707A"/>
    <w:rsid w:val="0090716C"/>
    <w:rsid w:val="00907E2C"/>
    <w:rsid w:val="00907E2F"/>
    <w:rsid w:val="00910B49"/>
    <w:rsid w:val="00910CF7"/>
    <w:rsid w:val="00911007"/>
    <w:rsid w:val="009114A8"/>
    <w:rsid w:val="00911AC0"/>
    <w:rsid w:val="00912037"/>
    <w:rsid w:val="00912043"/>
    <w:rsid w:val="009122D5"/>
    <w:rsid w:val="00912465"/>
    <w:rsid w:val="00912AE8"/>
    <w:rsid w:val="00912AFD"/>
    <w:rsid w:val="009134B3"/>
    <w:rsid w:val="00913633"/>
    <w:rsid w:val="00913884"/>
    <w:rsid w:val="00913893"/>
    <w:rsid w:val="00913BAA"/>
    <w:rsid w:val="00914770"/>
    <w:rsid w:val="009149F4"/>
    <w:rsid w:val="00914A23"/>
    <w:rsid w:val="00914A85"/>
    <w:rsid w:val="00914EE4"/>
    <w:rsid w:val="0091592C"/>
    <w:rsid w:val="00915A0F"/>
    <w:rsid w:val="0091637B"/>
    <w:rsid w:val="009167D2"/>
    <w:rsid w:val="009168F1"/>
    <w:rsid w:val="00916A07"/>
    <w:rsid w:val="00916F1B"/>
    <w:rsid w:val="0091730B"/>
    <w:rsid w:val="00917A33"/>
    <w:rsid w:val="00917CA9"/>
    <w:rsid w:val="009203C6"/>
    <w:rsid w:val="009208E1"/>
    <w:rsid w:val="00920F12"/>
    <w:rsid w:val="00920F47"/>
    <w:rsid w:val="00920FD8"/>
    <w:rsid w:val="009211EB"/>
    <w:rsid w:val="00921747"/>
    <w:rsid w:val="009219B7"/>
    <w:rsid w:val="00922741"/>
    <w:rsid w:val="009228E1"/>
    <w:rsid w:val="00922A02"/>
    <w:rsid w:val="00922B36"/>
    <w:rsid w:val="009232F3"/>
    <w:rsid w:val="00923665"/>
    <w:rsid w:val="00923684"/>
    <w:rsid w:val="00923DCC"/>
    <w:rsid w:val="00923F15"/>
    <w:rsid w:val="00923F34"/>
    <w:rsid w:val="00924898"/>
    <w:rsid w:val="00924D53"/>
    <w:rsid w:val="00925C04"/>
    <w:rsid w:val="00925F07"/>
    <w:rsid w:val="00926304"/>
    <w:rsid w:val="009267E6"/>
    <w:rsid w:val="009267E7"/>
    <w:rsid w:val="009268C3"/>
    <w:rsid w:val="00926DD3"/>
    <w:rsid w:val="0092720B"/>
    <w:rsid w:val="009273B5"/>
    <w:rsid w:val="00927D0E"/>
    <w:rsid w:val="00927FDF"/>
    <w:rsid w:val="0093021F"/>
    <w:rsid w:val="009304FA"/>
    <w:rsid w:val="00930A10"/>
    <w:rsid w:val="00931122"/>
    <w:rsid w:val="0093125A"/>
    <w:rsid w:val="00931906"/>
    <w:rsid w:val="00932318"/>
    <w:rsid w:val="00932B37"/>
    <w:rsid w:val="00932F98"/>
    <w:rsid w:val="0093312C"/>
    <w:rsid w:val="0093342C"/>
    <w:rsid w:val="0093360A"/>
    <w:rsid w:val="009340B9"/>
    <w:rsid w:val="009340CB"/>
    <w:rsid w:val="009340FD"/>
    <w:rsid w:val="0093570A"/>
    <w:rsid w:val="00935946"/>
    <w:rsid w:val="00936482"/>
    <w:rsid w:val="0093689C"/>
    <w:rsid w:val="009368E6"/>
    <w:rsid w:val="00936A89"/>
    <w:rsid w:val="00936FFC"/>
    <w:rsid w:val="0093709F"/>
    <w:rsid w:val="00937F72"/>
    <w:rsid w:val="0094040A"/>
    <w:rsid w:val="00940924"/>
    <w:rsid w:val="00940C59"/>
    <w:rsid w:val="00940C70"/>
    <w:rsid w:val="00940C7A"/>
    <w:rsid w:val="00941737"/>
    <w:rsid w:val="00941AAE"/>
    <w:rsid w:val="00941B4A"/>
    <w:rsid w:val="00941D76"/>
    <w:rsid w:val="00941DB3"/>
    <w:rsid w:val="00941EC3"/>
    <w:rsid w:val="00941EF0"/>
    <w:rsid w:val="009420E4"/>
    <w:rsid w:val="009423CD"/>
    <w:rsid w:val="00942A78"/>
    <w:rsid w:val="00942B91"/>
    <w:rsid w:val="0094307F"/>
    <w:rsid w:val="00943198"/>
    <w:rsid w:val="00943599"/>
    <w:rsid w:val="00943632"/>
    <w:rsid w:val="00943AC0"/>
    <w:rsid w:val="00943CE2"/>
    <w:rsid w:val="00943EA4"/>
    <w:rsid w:val="009446D8"/>
    <w:rsid w:val="00944802"/>
    <w:rsid w:val="009448A5"/>
    <w:rsid w:val="00944990"/>
    <w:rsid w:val="00944B99"/>
    <w:rsid w:val="00944BA9"/>
    <w:rsid w:val="00944E38"/>
    <w:rsid w:val="00944EEE"/>
    <w:rsid w:val="00945108"/>
    <w:rsid w:val="00945DBF"/>
    <w:rsid w:val="00946097"/>
    <w:rsid w:val="00946E67"/>
    <w:rsid w:val="00947361"/>
    <w:rsid w:val="009473CC"/>
    <w:rsid w:val="00947527"/>
    <w:rsid w:val="00947779"/>
    <w:rsid w:val="00947ADA"/>
    <w:rsid w:val="00947D79"/>
    <w:rsid w:val="009506A5"/>
    <w:rsid w:val="00950E45"/>
    <w:rsid w:val="009514AF"/>
    <w:rsid w:val="009514B9"/>
    <w:rsid w:val="0095274D"/>
    <w:rsid w:val="00952B55"/>
    <w:rsid w:val="00952CFF"/>
    <w:rsid w:val="0095323E"/>
    <w:rsid w:val="0095336B"/>
    <w:rsid w:val="00953926"/>
    <w:rsid w:val="00953C7B"/>
    <w:rsid w:val="00953D3F"/>
    <w:rsid w:val="00953DAE"/>
    <w:rsid w:val="00954151"/>
    <w:rsid w:val="009545B6"/>
    <w:rsid w:val="00954CF1"/>
    <w:rsid w:val="00954E54"/>
    <w:rsid w:val="00955010"/>
    <w:rsid w:val="00955AA2"/>
    <w:rsid w:val="00955B13"/>
    <w:rsid w:val="00955DE4"/>
    <w:rsid w:val="00956243"/>
    <w:rsid w:val="0095696C"/>
    <w:rsid w:val="00956BF9"/>
    <w:rsid w:val="00957055"/>
    <w:rsid w:val="00957436"/>
    <w:rsid w:val="00957DAD"/>
    <w:rsid w:val="0096039E"/>
    <w:rsid w:val="00960757"/>
    <w:rsid w:val="00960DE9"/>
    <w:rsid w:val="00961316"/>
    <w:rsid w:val="00961907"/>
    <w:rsid w:val="00961E41"/>
    <w:rsid w:val="00961E82"/>
    <w:rsid w:val="0096245F"/>
    <w:rsid w:val="00962E2B"/>
    <w:rsid w:val="00962F58"/>
    <w:rsid w:val="009636A4"/>
    <w:rsid w:val="00964E8B"/>
    <w:rsid w:val="00964FC3"/>
    <w:rsid w:val="009660FE"/>
    <w:rsid w:val="009666F4"/>
    <w:rsid w:val="00966849"/>
    <w:rsid w:val="00966EF6"/>
    <w:rsid w:val="009671A5"/>
    <w:rsid w:val="0096747B"/>
    <w:rsid w:val="00970244"/>
    <w:rsid w:val="00970729"/>
    <w:rsid w:val="0097073C"/>
    <w:rsid w:val="0097086B"/>
    <w:rsid w:val="00971381"/>
    <w:rsid w:val="009715D6"/>
    <w:rsid w:val="00971973"/>
    <w:rsid w:val="00971D69"/>
    <w:rsid w:val="00971E5B"/>
    <w:rsid w:val="00971FF5"/>
    <w:rsid w:val="00973097"/>
    <w:rsid w:val="00973348"/>
    <w:rsid w:val="009744B7"/>
    <w:rsid w:val="0097454B"/>
    <w:rsid w:val="0097467A"/>
    <w:rsid w:val="0097470B"/>
    <w:rsid w:val="00974D6D"/>
    <w:rsid w:val="00974FCA"/>
    <w:rsid w:val="00975AFF"/>
    <w:rsid w:val="00975DBB"/>
    <w:rsid w:val="0097624F"/>
    <w:rsid w:val="00976490"/>
    <w:rsid w:val="0097650F"/>
    <w:rsid w:val="00976E5A"/>
    <w:rsid w:val="00976F35"/>
    <w:rsid w:val="00977F88"/>
    <w:rsid w:val="009808BD"/>
    <w:rsid w:val="00980C56"/>
    <w:rsid w:val="00980FD1"/>
    <w:rsid w:val="009812DC"/>
    <w:rsid w:val="00981411"/>
    <w:rsid w:val="00981AF3"/>
    <w:rsid w:val="00982AB9"/>
    <w:rsid w:val="00982ADE"/>
    <w:rsid w:val="00982F26"/>
    <w:rsid w:val="00983893"/>
    <w:rsid w:val="00983A67"/>
    <w:rsid w:val="00983B47"/>
    <w:rsid w:val="00984890"/>
    <w:rsid w:val="00984A2E"/>
    <w:rsid w:val="00984AB2"/>
    <w:rsid w:val="00984D18"/>
    <w:rsid w:val="00984F94"/>
    <w:rsid w:val="009851E6"/>
    <w:rsid w:val="00985331"/>
    <w:rsid w:val="009855FC"/>
    <w:rsid w:val="009856B3"/>
    <w:rsid w:val="00985785"/>
    <w:rsid w:val="009859D5"/>
    <w:rsid w:val="009859E6"/>
    <w:rsid w:val="00985CBE"/>
    <w:rsid w:val="009862DF"/>
    <w:rsid w:val="00986E4B"/>
    <w:rsid w:val="00986EE4"/>
    <w:rsid w:val="009871BB"/>
    <w:rsid w:val="00987E30"/>
    <w:rsid w:val="00990645"/>
    <w:rsid w:val="0099078D"/>
    <w:rsid w:val="0099152D"/>
    <w:rsid w:val="00991738"/>
    <w:rsid w:val="00991A9F"/>
    <w:rsid w:val="00991FBD"/>
    <w:rsid w:val="0099202C"/>
    <w:rsid w:val="009922B7"/>
    <w:rsid w:val="00992798"/>
    <w:rsid w:val="0099282B"/>
    <w:rsid w:val="00992AA5"/>
    <w:rsid w:val="00992C21"/>
    <w:rsid w:val="00993D72"/>
    <w:rsid w:val="00994202"/>
    <w:rsid w:val="00994280"/>
    <w:rsid w:val="00994428"/>
    <w:rsid w:val="00994CA1"/>
    <w:rsid w:val="0099552C"/>
    <w:rsid w:val="00995792"/>
    <w:rsid w:val="00995F31"/>
    <w:rsid w:val="00996097"/>
    <w:rsid w:val="00996173"/>
    <w:rsid w:val="009964EC"/>
    <w:rsid w:val="009973D9"/>
    <w:rsid w:val="0099741E"/>
    <w:rsid w:val="00997805"/>
    <w:rsid w:val="00997808"/>
    <w:rsid w:val="00997850"/>
    <w:rsid w:val="009A0652"/>
    <w:rsid w:val="009A0889"/>
    <w:rsid w:val="009A11DD"/>
    <w:rsid w:val="009A158E"/>
    <w:rsid w:val="009A161B"/>
    <w:rsid w:val="009A1AE6"/>
    <w:rsid w:val="009A1C16"/>
    <w:rsid w:val="009A1F1F"/>
    <w:rsid w:val="009A23F6"/>
    <w:rsid w:val="009A254A"/>
    <w:rsid w:val="009A28BD"/>
    <w:rsid w:val="009A2DB0"/>
    <w:rsid w:val="009A2F22"/>
    <w:rsid w:val="009A30A2"/>
    <w:rsid w:val="009A33E5"/>
    <w:rsid w:val="009A36A4"/>
    <w:rsid w:val="009A47BA"/>
    <w:rsid w:val="009A497F"/>
    <w:rsid w:val="009A4C6D"/>
    <w:rsid w:val="009A4ED5"/>
    <w:rsid w:val="009A5055"/>
    <w:rsid w:val="009A50F9"/>
    <w:rsid w:val="009A5131"/>
    <w:rsid w:val="009A5549"/>
    <w:rsid w:val="009A56B7"/>
    <w:rsid w:val="009A5EA4"/>
    <w:rsid w:val="009A61D5"/>
    <w:rsid w:val="009A68C2"/>
    <w:rsid w:val="009A6D22"/>
    <w:rsid w:val="009A7437"/>
    <w:rsid w:val="009A7A18"/>
    <w:rsid w:val="009A7F19"/>
    <w:rsid w:val="009B04C2"/>
    <w:rsid w:val="009B04F1"/>
    <w:rsid w:val="009B06E7"/>
    <w:rsid w:val="009B08D4"/>
    <w:rsid w:val="009B0AE6"/>
    <w:rsid w:val="009B1515"/>
    <w:rsid w:val="009B1B4D"/>
    <w:rsid w:val="009B1C91"/>
    <w:rsid w:val="009B2216"/>
    <w:rsid w:val="009B2863"/>
    <w:rsid w:val="009B2FCC"/>
    <w:rsid w:val="009B3608"/>
    <w:rsid w:val="009B37F5"/>
    <w:rsid w:val="009B3AA3"/>
    <w:rsid w:val="009B4241"/>
    <w:rsid w:val="009B42EB"/>
    <w:rsid w:val="009B4321"/>
    <w:rsid w:val="009B4743"/>
    <w:rsid w:val="009B4DA1"/>
    <w:rsid w:val="009B50BD"/>
    <w:rsid w:val="009B5A08"/>
    <w:rsid w:val="009B5A1A"/>
    <w:rsid w:val="009B5BF5"/>
    <w:rsid w:val="009B5EB4"/>
    <w:rsid w:val="009B5F03"/>
    <w:rsid w:val="009B5FA2"/>
    <w:rsid w:val="009B6270"/>
    <w:rsid w:val="009B6609"/>
    <w:rsid w:val="009B66AA"/>
    <w:rsid w:val="009B6849"/>
    <w:rsid w:val="009B6F14"/>
    <w:rsid w:val="009B77E9"/>
    <w:rsid w:val="009B7BBF"/>
    <w:rsid w:val="009C023F"/>
    <w:rsid w:val="009C0597"/>
    <w:rsid w:val="009C0B0A"/>
    <w:rsid w:val="009C0C6F"/>
    <w:rsid w:val="009C2457"/>
    <w:rsid w:val="009C28BB"/>
    <w:rsid w:val="009C2C19"/>
    <w:rsid w:val="009C310F"/>
    <w:rsid w:val="009C32C6"/>
    <w:rsid w:val="009C3590"/>
    <w:rsid w:val="009C3728"/>
    <w:rsid w:val="009C4126"/>
    <w:rsid w:val="009C412D"/>
    <w:rsid w:val="009C421D"/>
    <w:rsid w:val="009C44DB"/>
    <w:rsid w:val="009C49E4"/>
    <w:rsid w:val="009C4AC9"/>
    <w:rsid w:val="009C5039"/>
    <w:rsid w:val="009C527F"/>
    <w:rsid w:val="009C5A6D"/>
    <w:rsid w:val="009C5CAD"/>
    <w:rsid w:val="009C6026"/>
    <w:rsid w:val="009C6054"/>
    <w:rsid w:val="009C6352"/>
    <w:rsid w:val="009C66A3"/>
    <w:rsid w:val="009C6F40"/>
    <w:rsid w:val="009C7160"/>
    <w:rsid w:val="009C7164"/>
    <w:rsid w:val="009C75CC"/>
    <w:rsid w:val="009C7D82"/>
    <w:rsid w:val="009C7FC8"/>
    <w:rsid w:val="009D0128"/>
    <w:rsid w:val="009D0285"/>
    <w:rsid w:val="009D070A"/>
    <w:rsid w:val="009D0823"/>
    <w:rsid w:val="009D0C04"/>
    <w:rsid w:val="009D1E7A"/>
    <w:rsid w:val="009D1F50"/>
    <w:rsid w:val="009D2055"/>
    <w:rsid w:val="009D2068"/>
    <w:rsid w:val="009D22AA"/>
    <w:rsid w:val="009D2790"/>
    <w:rsid w:val="009D2974"/>
    <w:rsid w:val="009D2CEB"/>
    <w:rsid w:val="009D2DDD"/>
    <w:rsid w:val="009D307B"/>
    <w:rsid w:val="009D3291"/>
    <w:rsid w:val="009D32AA"/>
    <w:rsid w:val="009D344B"/>
    <w:rsid w:val="009D3C94"/>
    <w:rsid w:val="009D4ADB"/>
    <w:rsid w:val="009D4B30"/>
    <w:rsid w:val="009D5017"/>
    <w:rsid w:val="009D5160"/>
    <w:rsid w:val="009D5460"/>
    <w:rsid w:val="009D7825"/>
    <w:rsid w:val="009D7883"/>
    <w:rsid w:val="009D7F83"/>
    <w:rsid w:val="009D7F85"/>
    <w:rsid w:val="009E0034"/>
    <w:rsid w:val="009E013D"/>
    <w:rsid w:val="009E0BD2"/>
    <w:rsid w:val="009E0C05"/>
    <w:rsid w:val="009E0F4E"/>
    <w:rsid w:val="009E1149"/>
    <w:rsid w:val="009E12FA"/>
    <w:rsid w:val="009E219A"/>
    <w:rsid w:val="009E265F"/>
    <w:rsid w:val="009E2B4D"/>
    <w:rsid w:val="009E2DE0"/>
    <w:rsid w:val="009E3056"/>
    <w:rsid w:val="009E3534"/>
    <w:rsid w:val="009E44A5"/>
    <w:rsid w:val="009E46EB"/>
    <w:rsid w:val="009E48AE"/>
    <w:rsid w:val="009E4C52"/>
    <w:rsid w:val="009E4D5A"/>
    <w:rsid w:val="009E57DC"/>
    <w:rsid w:val="009E58F2"/>
    <w:rsid w:val="009E591F"/>
    <w:rsid w:val="009E6390"/>
    <w:rsid w:val="009E6745"/>
    <w:rsid w:val="009E6780"/>
    <w:rsid w:val="009E6C0F"/>
    <w:rsid w:val="009E6D69"/>
    <w:rsid w:val="009E6F15"/>
    <w:rsid w:val="009E72B5"/>
    <w:rsid w:val="009E742F"/>
    <w:rsid w:val="009E7EDB"/>
    <w:rsid w:val="009F0ACB"/>
    <w:rsid w:val="009F0C47"/>
    <w:rsid w:val="009F0E6A"/>
    <w:rsid w:val="009F11AA"/>
    <w:rsid w:val="009F126F"/>
    <w:rsid w:val="009F17A2"/>
    <w:rsid w:val="009F1F2D"/>
    <w:rsid w:val="009F202A"/>
    <w:rsid w:val="009F20A2"/>
    <w:rsid w:val="009F279E"/>
    <w:rsid w:val="009F27AD"/>
    <w:rsid w:val="009F299C"/>
    <w:rsid w:val="009F323E"/>
    <w:rsid w:val="009F334F"/>
    <w:rsid w:val="009F3713"/>
    <w:rsid w:val="009F37B3"/>
    <w:rsid w:val="009F38E7"/>
    <w:rsid w:val="009F3B50"/>
    <w:rsid w:val="009F3BB5"/>
    <w:rsid w:val="009F4368"/>
    <w:rsid w:val="009F521D"/>
    <w:rsid w:val="009F5249"/>
    <w:rsid w:val="009F5433"/>
    <w:rsid w:val="009F5C6D"/>
    <w:rsid w:val="009F5E68"/>
    <w:rsid w:val="009F5E7B"/>
    <w:rsid w:val="009F6763"/>
    <w:rsid w:val="009F6D05"/>
    <w:rsid w:val="009F6ED8"/>
    <w:rsid w:val="009F70BB"/>
    <w:rsid w:val="009F728C"/>
    <w:rsid w:val="009F7602"/>
    <w:rsid w:val="00A001C8"/>
    <w:rsid w:val="00A005B8"/>
    <w:rsid w:val="00A013E0"/>
    <w:rsid w:val="00A01CD5"/>
    <w:rsid w:val="00A01DD1"/>
    <w:rsid w:val="00A022DE"/>
    <w:rsid w:val="00A02979"/>
    <w:rsid w:val="00A030CE"/>
    <w:rsid w:val="00A03587"/>
    <w:rsid w:val="00A03C33"/>
    <w:rsid w:val="00A0408E"/>
    <w:rsid w:val="00A048BB"/>
    <w:rsid w:val="00A050E8"/>
    <w:rsid w:val="00A054CF"/>
    <w:rsid w:val="00A05876"/>
    <w:rsid w:val="00A058DA"/>
    <w:rsid w:val="00A05951"/>
    <w:rsid w:val="00A059F4"/>
    <w:rsid w:val="00A0637C"/>
    <w:rsid w:val="00A06EFD"/>
    <w:rsid w:val="00A100C9"/>
    <w:rsid w:val="00A10700"/>
    <w:rsid w:val="00A108D5"/>
    <w:rsid w:val="00A10C4D"/>
    <w:rsid w:val="00A10DC9"/>
    <w:rsid w:val="00A10E94"/>
    <w:rsid w:val="00A11293"/>
    <w:rsid w:val="00A11313"/>
    <w:rsid w:val="00A1186A"/>
    <w:rsid w:val="00A11B92"/>
    <w:rsid w:val="00A12165"/>
    <w:rsid w:val="00A121F3"/>
    <w:rsid w:val="00A12295"/>
    <w:rsid w:val="00A122C9"/>
    <w:rsid w:val="00A12337"/>
    <w:rsid w:val="00A12383"/>
    <w:rsid w:val="00A129C1"/>
    <w:rsid w:val="00A12B8E"/>
    <w:rsid w:val="00A13061"/>
    <w:rsid w:val="00A130AD"/>
    <w:rsid w:val="00A1311E"/>
    <w:rsid w:val="00A13396"/>
    <w:rsid w:val="00A1356E"/>
    <w:rsid w:val="00A1393E"/>
    <w:rsid w:val="00A1411E"/>
    <w:rsid w:val="00A14136"/>
    <w:rsid w:val="00A1422C"/>
    <w:rsid w:val="00A146A6"/>
    <w:rsid w:val="00A14C83"/>
    <w:rsid w:val="00A14E01"/>
    <w:rsid w:val="00A151BF"/>
    <w:rsid w:val="00A152BF"/>
    <w:rsid w:val="00A15CD1"/>
    <w:rsid w:val="00A15DB3"/>
    <w:rsid w:val="00A15DD0"/>
    <w:rsid w:val="00A165B8"/>
    <w:rsid w:val="00A165D9"/>
    <w:rsid w:val="00A16B13"/>
    <w:rsid w:val="00A16BAB"/>
    <w:rsid w:val="00A172F8"/>
    <w:rsid w:val="00A17E27"/>
    <w:rsid w:val="00A202BF"/>
    <w:rsid w:val="00A20B0C"/>
    <w:rsid w:val="00A20D18"/>
    <w:rsid w:val="00A20D9F"/>
    <w:rsid w:val="00A20DC1"/>
    <w:rsid w:val="00A210AE"/>
    <w:rsid w:val="00A210CF"/>
    <w:rsid w:val="00A2113A"/>
    <w:rsid w:val="00A21294"/>
    <w:rsid w:val="00A21537"/>
    <w:rsid w:val="00A22101"/>
    <w:rsid w:val="00A2231B"/>
    <w:rsid w:val="00A22467"/>
    <w:rsid w:val="00A22C27"/>
    <w:rsid w:val="00A22FE5"/>
    <w:rsid w:val="00A2333D"/>
    <w:rsid w:val="00A23447"/>
    <w:rsid w:val="00A23B5F"/>
    <w:rsid w:val="00A2424A"/>
    <w:rsid w:val="00A2468E"/>
    <w:rsid w:val="00A24BEE"/>
    <w:rsid w:val="00A25445"/>
    <w:rsid w:val="00A254CA"/>
    <w:rsid w:val="00A2597A"/>
    <w:rsid w:val="00A25A88"/>
    <w:rsid w:val="00A25B0C"/>
    <w:rsid w:val="00A25B88"/>
    <w:rsid w:val="00A25D26"/>
    <w:rsid w:val="00A260CA"/>
    <w:rsid w:val="00A263ED"/>
    <w:rsid w:val="00A2650D"/>
    <w:rsid w:val="00A26994"/>
    <w:rsid w:val="00A26C97"/>
    <w:rsid w:val="00A26F89"/>
    <w:rsid w:val="00A27A83"/>
    <w:rsid w:val="00A27AA2"/>
    <w:rsid w:val="00A302C1"/>
    <w:rsid w:val="00A309A7"/>
    <w:rsid w:val="00A309D9"/>
    <w:rsid w:val="00A30FDD"/>
    <w:rsid w:val="00A312C4"/>
    <w:rsid w:val="00A314D2"/>
    <w:rsid w:val="00A319F7"/>
    <w:rsid w:val="00A31A64"/>
    <w:rsid w:val="00A31AF9"/>
    <w:rsid w:val="00A31CA3"/>
    <w:rsid w:val="00A31CC1"/>
    <w:rsid w:val="00A32031"/>
    <w:rsid w:val="00A32295"/>
    <w:rsid w:val="00A32447"/>
    <w:rsid w:val="00A333E1"/>
    <w:rsid w:val="00A33985"/>
    <w:rsid w:val="00A33CAB"/>
    <w:rsid w:val="00A34478"/>
    <w:rsid w:val="00A34852"/>
    <w:rsid w:val="00A34D62"/>
    <w:rsid w:val="00A35652"/>
    <w:rsid w:val="00A35B62"/>
    <w:rsid w:val="00A3662F"/>
    <w:rsid w:val="00A36719"/>
    <w:rsid w:val="00A36AB9"/>
    <w:rsid w:val="00A36B9A"/>
    <w:rsid w:val="00A36C26"/>
    <w:rsid w:val="00A36D46"/>
    <w:rsid w:val="00A36EF9"/>
    <w:rsid w:val="00A379B6"/>
    <w:rsid w:val="00A40659"/>
    <w:rsid w:val="00A4074F"/>
    <w:rsid w:val="00A40DE4"/>
    <w:rsid w:val="00A40E22"/>
    <w:rsid w:val="00A4114F"/>
    <w:rsid w:val="00A414E2"/>
    <w:rsid w:val="00A414F8"/>
    <w:rsid w:val="00A417AD"/>
    <w:rsid w:val="00A420E3"/>
    <w:rsid w:val="00A422ED"/>
    <w:rsid w:val="00A424C1"/>
    <w:rsid w:val="00A425CC"/>
    <w:rsid w:val="00A4305F"/>
    <w:rsid w:val="00A4357A"/>
    <w:rsid w:val="00A43A49"/>
    <w:rsid w:val="00A4425F"/>
    <w:rsid w:val="00A4427F"/>
    <w:rsid w:val="00A44586"/>
    <w:rsid w:val="00A44AE4"/>
    <w:rsid w:val="00A44D6E"/>
    <w:rsid w:val="00A44E93"/>
    <w:rsid w:val="00A452EF"/>
    <w:rsid w:val="00A453DD"/>
    <w:rsid w:val="00A45430"/>
    <w:rsid w:val="00A455D0"/>
    <w:rsid w:val="00A4560C"/>
    <w:rsid w:val="00A45678"/>
    <w:rsid w:val="00A45814"/>
    <w:rsid w:val="00A459EF"/>
    <w:rsid w:val="00A45A00"/>
    <w:rsid w:val="00A45D72"/>
    <w:rsid w:val="00A4669D"/>
    <w:rsid w:val="00A46B9C"/>
    <w:rsid w:val="00A46E6B"/>
    <w:rsid w:val="00A47FD8"/>
    <w:rsid w:val="00A50342"/>
    <w:rsid w:val="00A50616"/>
    <w:rsid w:val="00A51050"/>
    <w:rsid w:val="00A51852"/>
    <w:rsid w:val="00A52051"/>
    <w:rsid w:val="00A52510"/>
    <w:rsid w:val="00A52946"/>
    <w:rsid w:val="00A52A10"/>
    <w:rsid w:val="00A52A7D"/>
    <w:rsid w:val="00A52B2F"/>
    <w:rsid w:val="00A53615"/>
    <w:rsid w:val="00A545D9"/>
    <w:rsid w:val="00A546CC"/>
    <w:rsid w:val="00A54732"/>
    <w:rsid w:val="00A54C33"/>
    <w:rsid w:val="00A55266"/>
    <w:rsid w:val="00A55917"/>
    <w:rsid w:val="00A55A16"/>
    <w:rsid w:val="00A55BED"/>
    <w:rsid w:val="00A55E38"/>
    <w:rsid w:val="00A564B3"/>
    <w:rsid w:val="00A56556"/>
    <w:rsid w:val="00A565A8"/>
    <w:rsid w:val="00A568CC"/>
    <w:rsid w:val="00A56AD6"/>
    <w:rsid w:val="00A56DD1"/>
    <w:rsid w:val="00A57254"/>
    <w:rsid w:val="00A57336"/>
    <w:rsid w:val="00A57792"/>
    <w:rsid w:val="00A57919"/>
    <w:rsid w:val="00A57CAF"/>
    <w:rsid w:val="00A57F52"/>
    <w:rsid w:val="00A6078D"/>
    <w:rsid w:val="00A60921"/>
    <w:rsid w:val="00A609AE"/>
    <w:rsid w:val="00A60F21"/>
    <w:rsid w:val="00A61094"/>
    <w:rsid w:val="00A612D8"/>
    <w:rsid w:val="00A613F0"/>
    <w:rsid w:val="00A6182C"/>
    <w:rsid w:val="00A623F3"/>
    <w:rsid w:val="00A6284C"/>
    <w:rsid w:val="00A6285F"/>
    <w:rsid w:val="00A6287B"/>
    <w:rsid w:val="00A62974"/>
    <w:rsid w:val="00A629F6"/>
    <w:rsid w:val="00A631B2"/>
    <w:rsid w:val="00A636BD"/>
    <w:rsid w:val="00A63847"/>
    <w:rsid w:val="00A63D83"/>
    <w:rsid w:val="00A63EBA"/>
    <w:rsid w:val="00A642E3"/>
    <w:rsid w:val="00A64395"/>
    <w:rsid w:val="00A64DCA"/>
    <w:rsid w:val="00A65597"/>
    <w:rsid w:val="00A66403"/>
    <w:rsid w:val="00A66631"/>
    <w:rsid w:val="00A66BC4"/>
    <w:rsid w:val="00A66E59"/>
    <w:rsid w:val="00A6719E"/>
    <w:rsid w:val="00A67267"/>
    <w:rsid w:val="00A6744A"/>
    <w:rsid w:val="00A675D9"/>
    <w:rsid w:val="00A678B5"/>
    <w:rsid w:val="00A679B3"/>
    <w:rsid w:val="00A704C8"/>
    <w:rsid w:val="00A70614"/>
    <w:rsid w:val="00A708DA"/>
    <w:rsid w:val="00A710A3"/>
    <w:rsid w:val="00A710DF"/>
    <w:rsid w:val="00A713F5"/>
    <w:rsid w:val="00A71569"/>
    <w:rsid w:val="00A71670"/>
    <w:rsid w:val="00A716C8"/>
    <w:rsid w:val="00A71B55"/>
    <w:rsid w:val="00A71DFE"/>
    <w:rsid w:val="00A720BE"/>
    <w:rsid w:val="00A728AC"/>
    <w:rsid w:val="00A72F08"/>
    <w:rsid w:val="00A72F16"/>
    <w:rsid w:val="00A73039"/>
    <w:rsid w:val="00A7332B"/>
    <w:rsid w:val="00A73383"/>
    <w:rsid w:val="00A7350A"/>
    <w:rsid w:val="00A73659"/>
    <w:rsid w:val="00A73AB6"/>
    <w:rsid w:val="00A73D35"/>
    <w:rsid w:val="00A73D68"/>
    <w:rsid w:val="00A73E64"/>
    <w:rsid w:val="00A73F69"/>
    <w:rsid w:val="00A7422C"/>
    <w:rsid w:val="00A74314"/>
    <w:rsid w:val="00A74709"/>
    <w:rsid w:val="00A7493F"/>
    <w:rsid w:val="00A74A54"/>
    <w:rsid w:val="00A74C1B"/>
    <w:rsid w:val="00A74EAE"/>
    <w:rsid w:val="00A75183"/>
    <w:rsid w:val="00A75683"/>
    <w:rsid w:val="00A7592B"/>
    <w:rsid w:val="00A75B7C"/>
    <w:rsid w:val="00A75F37"/>
    <w:rsid w:val="00A766A7"/>
    <w:rsid w:val="00A7675D"/>
    <w:rsid w:val="00A769BF"/>
    <w:rsid w:val="00A76D11"/>
    <w:rsid w:val="00A770C1"/>
    <w:rsid w:val="00A7764F"/>
    <w:rsid w:val="00A77835"/>
    <w:rsid w:val="00A819CD"/>
    <w:rsid w:val="00A81D1A"/>
    <w:rsid w:val="00A82051"/>
    <w:rsid w:val="00A823A0"/>
    <w:rsid w:val="00A8256B"/>
    <w:rsid w:val="00A827A7"/>
    <w:rsid w:val="00A8281E"/>
    <w:rsid w:val="00A82860"/>
    <w:rsid w:val="00A82991"/>
    <w:rsid w:val="00A82C62"/>
    <w:rsid w:val="00A82F27"/>
    <w:rsid w:val="00A8329A"/>
    <w:rsid w:val="00A833BA"/>
    <w:rsid w:val="00A83421"/>
    <w:rsid w:val="00A837A2"/>
    <w:rsid w:val="00A837D9"/>
    <w:rsid w:val="00A838B6"/>
    <w:rsid w:val="00A83B51"/>
    <w:rsid w:val="00A83F4A"/>
    <w:rsid w:val="00A8496E"/>
    <w:rsid w:val="00A84ADB"/>
    <w:rsid w:val="00A84B9B"/>
    <w:rsid w:val="00A84DD3"/>
    <w:rsid w:val="00A84F0B"/>
    <w:rsid w:val="00A8508F"/>
    <w:rsid w:val="00A851CA"/>
    <w:rsid w:val="00A853AC"/>
    <w:rsid w:val="00A85690"/>
    <w:rsid w:val="00A85739"/>
    <w:rsid w:val="00A85798"/>
    <w:rsid w:val="00A857E7"/>
    <w:rsid w:val="00A85944"/>
    <w:rsid w:val="00A859ED"/>
    <w:rsid w:val="00A860E5"/>
    <w:rsid w:val="00A8680B"/>
    <w:rsid w:val="00A86EEF"/>
    <w:rsid w:val="00A8788A"/>
    <w:rsid w:val="00A878AE"/>
    <w:rsid w:val="00A90556"/>
    <w:rsid w:val="00A90570"/>
    <w:rsid w:val="00A90945"/>
    <w:rsid w:val="00A90EB6"/>
    <w:rsid w:val="00A90F3D"/>
    <w:rsid w:val="00A91493"/>
    <w:rsid w:val="00A9193C"/>
    <w:rsid w:val="00A91BB8"/>
    <w:rsid w:val="00A91CA8"/>
    <w:rsid w:val="00A92890"/>
    <w:rsid w:val="00A92C1D"/>
    <w:rsid w:val="00A92F29"/>
    <w:rsid w:val="00A930D0"/>
    <w:rsid w:val="00A93220"/>
    <w:rsid w:val="00A93684"/>
    <w:rsid w:val="00A93B39"/>
    <w:rsid w:val="00A93F6A"/>
    <w:rsid w:val="00A9421E"/>
    <w:rsid w:val="00A9472A"/>
    <w:rsid w:val="00A94AE2"/>
    <w:rsid w:val="00A951E9"/>
    <w:rsid w:val="00A9594B"/>
    <w:rsid w:val="00A95E9F"/>
    <w:rsid w:val="00A965D3"/>
    <w:rsid w:val="00A96AD4"/>
    <w:rsid w:val="00A96C49"/>
    <w:rsid w:val="00A96D51"/>
    <w:rsid w:val="00A96E80"/>
    <w:rsid w:val="00A96F4A"/>
    <w:rsid w:val="00A97387"/>
    <w:rsid w:val="00A975E7"/>
    <w:rsid w:val="00A977DC"/>
    <w:rsid w:val="00AA01D4"/>
    <w:rsid w:val="00AA03D2"/>
    <w:rsid w:val="00AA050E"/>
    <w:rsid w:val="00AA051F"/>
    <w:rsid w:val="00AA0C90"/>
    <w:rsid w:val="00AA10D1"/>
    <w:rsid w:val="00AA1773"/>
    <w:rsid w:val="00AA193E"/>
    <w:rsid w:val="00AA1B2B"/>
    <w:rsid w:val="00AA266D"/>
    <w:rsid w:val="00AA274C"/>
    <w:rsid w:val="00AA2A0D"/>
    <w:rsid w:val="00AA2AB9"/>
    <w:rsid w:val="00AA3B8C"/>
    <w:rsid w:val="00AA3EF1"/>
    <w:rsid w:val="00AA4001"/>
    <w:rsid w:val="00AA4A22"/>
    <w:rsid w:val="00AA4D7D"/>
    <w:rsid w:val="00AA4EE6"/>
    <w:rsid w:val="00AA59BB"/>
    <w:rsid w:val="00AA5B0C"/>
    <w:rsid w:val="00AA5E11"/>
    <w:rsid w:val="00AA62C5"/>
    <w:rsid w:val="00AA62C6"/>
    <w:rsid w:val="00AA62F7"/>
    <w:rsid w:val="00AA69EF"/>
    <w:rsid w:val="00AA7135"/>
    <w:rsid w:val="00AA7B4D"/>
    <w:rsid w:val="00AA7CDE"/>
    <w:rsid w:val="00AA7FB7"/>
    <w:rsid w:val="00AA7FBB"/>
    <w:rsid w:val="00AB04E5"/>
    <w:rsid w:val="00AB06E5"/>
    <w:rsid w:val="00AB0737"/>
    <w:rsid w:val="00AB1000"/>
    <w:rsid w:val="00AB1122"/>
    <w:rsid w:val="00AB1194"/>
    <w:rsid w:val="00AB11F4"/>
    <w:rsid w:val="00AB13DD"/>
    <w:rsid w:val="00AB140C"/>
    <w:rsid w:val="00AB14A4"/>
    <w:rsid w:val="00AB172C"/>
    <w:rsid w:val="00AB1762"/>
    <w:rsid w:val="00AB1EB5"/>
    <w:rsid w:val="00AB1FCF"/>
    <w:rsid w:val="00AB2FAD"/>
    <w:rsid w:val="00AB32A0"/>
    <w:rsid w:val="00AB3312"/>
    <w:rsid w:val="00AB37A8"/>
    <w:rsid w:val="00AB3853"/>
    <w:rsid w:val="00AB3E15"/>
    <w:rsid w:val="00AB40A0"/>
    <w:rsid w:val="00AB41C7"/>
    <w:rsid w:val="00AB460E"/>
    <w:rsid w:val="00AB494E"/>
    <w:rsid w:val="00AB4B90"/>
    <w:rsid w:val="00AB51B2"/>
    <w:rsid w:val="00AB539F"/>
    <w:rsid w:val="00AB58F6"/>
    <w:rsid w:val="00AB59DF"/>
    <w:rsid w:val="00AB5F35"/>
    <w:rsid w:val="00AB6156"/>
    <w:rsid w:val="00AB6E71"/>
    <w:rsid w:val="00AB728B"/>
    <w:rsid w:val="00AB7473"/>
    <w:rsid w:val="00AB7640"/>
    <w:rsid w:val="00AB7722"/>
    <w:rsid w:val="00AB787B"/>
    <w:rsid w:val="00AB7B0E"/>
    <w:rsid w:val="00AB7C73"/>
    <w:rsid w:val="00AC0032"/>
    <w:rsid w:val="00AC0261"/>
    <w:rsid w:val="00AC0859"/>
    <w:rsid w:val="00AC17FB"/>
    <w:rsid w:val="00AC18A4"/>
    <w:rsid w:val="00AC1E69"/>
    <w:rsid w:val="00AC20D7"/>
    <w:rsid w:val="00AC2DC4"/>
    <w:rsid w:val="00AC2E4B"/>
    <w:rsid w:val="00AC306C"/>
    <w:rsid w:val="00AC33A2"/>
    <w:rsid w:val="00AC39C9"/>
    <w:rsid w:val="00AC3FCA"/>
    <w:rsid w:val="00AC4714"/>
    <w:rsid w:val="00AC4998"/>
    <w:rsid w:val="00AC4F35"/>
    <w:rsid w:val="00AC5508"/>
    <w:rsid w:val="00AC5A26"/>
    <w:rsid w:val="00AC5C39"/>
    <w:rsid w:val="00AC6096"/>
    <w:rsid w:val="00AC60F9"/>
    <w:rsid w:val="00AC632B"/>
    <w:rsid w:val="00AC6725"/>
    <w:rsid w:val="00AC6A89"/>
    <w:rsid w:val="00AC6B1D"/>
    <w:rsid w:val="00AC6C36"/>
    <w:rsid w:val="00AC6D8B"/>
    <w:rsid w:val="00AC7142"/>
    <w:rsid w:val="00AC7283"/>
    <w:rsid w:val="00AC7308"/>
    <w:rsid w:val="00AC7FE1"/>
    <w:rsid w:val="00AD014A"/>
    <w:rsid w:val="00AD0325"/>
    <w:rsid w:val="00AD0A2B"/>
    <w:rsid w:val="00AD1942"/>
    <w:rsid w:val="00AD1B55"/>
    <w:rsid w:val="00AD1E55"/>
    <w:rsid w:val="00AD2211"/>
    <w:rsid w:val="00AD2635"/>
    <w:rsid w:val="00AD2BD1"/>
    <w:rsid w:val="00AD2CA5"/>
    <w:rsid w:val="00AD2CE6"/>
    <w:rsid w:val="00AD2DE2"/>
    <w:rsid w:val="00AD2E78"/>
    <w:rsid w:val="00AD308E"/>
    <w:rsid w:val="00AD30FD"/>
    <w:rsid w:val="00AD3556"/>
    <w:rsid w:val="00AD370B"/>
    <w:rsid w:val="00AD3A45"/>
    <w:rsid w:val="00AD455F"/>
    <w:rsid w:val="00AD471F"/>
    <w:rsid w:val="00AD482B"/>
    <w:rsid w:val="00AD4A66"/>
    <w:rsid w:val="00AD4C91"/>
    <w:rsid w:val="00AD4FBA"/>
    <w:rsid w:val="00AD505E"/>
    <w:rsid w:val="00AD52CC"/>
    <w:rsid w:val="00AD575E"/>
    <w:rsid w:val="00AD58BB"/>
    <w:rsid w:val="00AD5E3B"/>
    <w:rsid w:val="00AD647C"/>
    <w:rsid w:val="00AD6633"/>
    <w:rsid w:val="00AD6C55"/>
    <w:rsid w:val="00AD6EC8"/>
    <w:rsid w:val="00AD715B"/>
    <w:rsid w:val="00AD7659"/>
    <w:rsid w:val="00AD76E8"/>
    <w:rsid w:val="00AD7A25"/>
    <w:rsid w:val="00AE005E"/>
    <w:rsid w:val="00AE026A"/>
    <w:rsid w:val="00AE0338"/>
    <w:rsid w:val="00AE04FA"/>
    <w:rsid w:val="00AE0615"/>
    <w:rsid w:val="00AE0EC5"/>
    <w:rsid w:val="00AE1263"/>
    <w:rsid w:val="00AE12A6"/>
    <w:rsid w:val="00AE15AC"/>
    <w:rsid w:val="00AE1E22"/>
    <w:rsid w:val="00AE232A"/>
    <w:rsid w:val="00AE2F8F"/>
    <w:rsid w:val="00AE30D7"/>
    <w:rsid w:val="00AE3180"/>
    <w:rsid w:val="00AE3C6A"/>
    <w:rsid w:val="00AE3D5E"/>
    <w:rsid w:val="00AE44C2"/>
    <w:rsid w:val="00AE4AE8"/>
    <w:rsid w:val="00AE4DD2"/>
    <w:rsid w:val="00AE5369"/>
    <w:rsid w:val="00AE57AB"/>
    <w:rsid w:val="00AE5B32"/>
    <w:rsid w:val="00AE5CC6"/>
    <w:rsid w:val="00AE5D0D"/>
    <w:rsid w:val="00AE65A1"/>
    <w:rsid w:val="00AE6631"/>
    <w:rsid w:val="00AE6AFB"/>
    <w:rsid w:val="00AE6B6B"/>
    <w:rsid w:val="00AE716E"/>
    <w:rsid w:val="00AE7336"/>
    <w:rsid w:val="00AE748C"/>
    <w:rsid w:val="00AE74D2"/>
    <w:rsid w:val="00AE7CCD"/>
    <w:rsid w:val="00AE7D29"/>
    <w:rsid w:val="00AE7EF8"/>
    <w:rsid w:val="00AF00CB"/>
    <w:rsid w:val="00AF013D"/>
    <w:rsid w:val="00AF01DB"/>
    <w:rsid w:val="00AF04A3"/>
    <w:rsid w:val="00AF06B0"/>
    <w:rsid w:val="00AF08A4"/>
    <w:rsid w:val="00AF0C3D"/>
    <w:rsid w:val="00AF0CFF"/>
    <w:rsid w:val="00AF1881"/>
    <w:rsid w:val="00AF18A2"/>
    <w:rsid w:val="00AF1F23"/>
    <w:rsid w:val="00AF212C"/>
    <w:rsid w:val="00AF21E6"/>
    <w:rsid w:val="00AF23FA"/>
    <w:rsid w:val="00AF28C1"/>
    <w:rsid w:val="00AF31DE"/>
    <w:rsid w:val="00AF3207"/>
    <w:rsid w:val="00AF3A5E"/>
    <w:rsid w:val="00AF46FD"/>
    <w:rsid w:val="00AF4930"/>
    <w:rsid w:val="00AF4D6B"/>
    <w:rsid w:val="00AF549F"/>
    <w:rsid w:val="00AF58D2"/>
    <w:rsid w:val="00AF5A3B"/>
    <w:rsid w:val="00AF67AA"/>
    <w:rsid w:val="00AF69E5"/>
    <w:rsid w:val="00AF6E77"/>
    <w:rsid w:val="00AF74B8"/>
    <w:rsid w:val="00AF7564"/>
    <w:rsid w:val="00AF7C5D"/>
    <w:rsid w:val="00B002A5"/>
    <w:rsid w:val="00B00E66"/>
    <w:rsid w:val="00B016E8"/>
    <w:rsid w:val="00B017D8"/>
    <w:rsid w:val="00B01FC3"/>
    <w:rsid w:val="00B02860"/>
    <w:rsid w:val="00B030FD"/>
    <w:rsid w:val="00B03399"/>
    <w:rsid w:val="00B03717"/>
    <w:rsid w:val="00B0381D"/>
    <w:rsid w:val="00B03F6B"/>
    <w:rsid w:val="00B0430D"/>
    <w:rsid w:val="00B046DA"/>
    <w:rsid w:val="00B0492A"/>
    <w:rsid w:val="00B04B98"/>
    <w:rsid w:val="00B04C92"/>
    <w:rsid w:val="00B04CC6"/>
    <w:rsid w:val="00B04D11"/>
    <w:rsid w:val="00B050F0"/>
    <w:rsid w:val="00B05D7F"/>
    <w:rsid w:val="00B068E3"/>
    <w:rsid w:val="00B06ABA"/>
    <w:rsid w:val="00B06BEB"/>
    <w:rsid w:val="00B06EEA"/>
    <w:rsid w:val="00B0706E"/>
    <w:rsid w:val="00B071C4"/>
    <w:rsid w:val="00B07347"/>
    <w:rsid w:val="00B07717"/>
    <w:rsid w:val="00B0777C"/>
    <w:rsid w:val="00B07964"/>
    <w:rsid w:val="00B10117"/>
    <w:rsid w:val="00B10265"/>
    <w:rsid w:val="00B102E5"/>
    <w:rsid w:val="00B104D7"/>
    <w:rsid w:val="00B105DA"/>
    <w:rsid w:val="00B107E5"/>
    <w:rsid w:val="00B1127A"/>
    <w:rsid w:val="00B114C7"/>
    <w:rsid w:val="00B117C7"/>
    <w:rsid w:val="00B1196A"/>
    <w:rsid w:val="00B119FC"/>
    <w:rsid w:val="00B120FA"/>
    <w:rsid w:val="00B12125"/>
    <w:rsid w:val="00B12277"/>
    <w:rsid w:val="00B12ECF"/>
    <w:rsid w:val="00B1363B"/>
    <w:rsid w:val="00B13AA4"/>
    <w:rsid w:val="00B13AB0"/>
    <w:rsid w:val="00B1421C"/>
    <w:rsid w:val="00B142DA"/>
    <w:rsid w:val="00B14515"/>
    <w:rsid w:val="00B145B1"/>
    <w:rsid w:val="00B14EE0"/>
    <w:rsid w:val="00B156E4"/>
    <w:rsid w:val="00B15CBE"/>
    <w:rsid w:val="00B15F44"/>
    <w:rsid w:val="00B15FF5"/>
    <w:rsid w:val="00B16555"/>
    <w:rsid w:val="00B16B34"/>
    <w:rsid w:val="00B16BB4"/>
    <w:rsid w:val="00B17142"/>
    <w:rsid w:val="00B17252"/>
    <w:rsid w:val="00B1764A"/>
    <w:rsid w:val="00B1767A"/>
    <w:rsid w:val="00B17A1F"/>
    <w:rsid w:val="00B17E51"/>
    <w:rsid w:val="00B20657"/>
    <w:rsid w:val="00B20AB1"/>
    <w:rsid w:val="00B2138D"/>
    <w:rsid w:val="00B21615"/>
    <w:rsid w:val="00B2165B"/>
    <w:rsid w:val="00B21670"/>
    <w:rsid w:val="00B21743"/>
    <w:rsid w:val="00B219CE"/>
    <w:rsid w:val="00B21A33"/>
    <w:rsid w:val="00B21CB2"/>
    <w:rsid w:val="00B22260"/>
    <w:rsid w:val="00B223A4"/>
    <w:rsid w:val="00B229F8"/>
    <w:rsid w:val="00B22FF0"/>
    <w:rsid w:val="00B23068"/>
    <w:rsid w:val="00B23219"/>
    <w:rsid w:val="00B232CF"/>
    <w:rsid w:val="00B23AB5"/>
    <w:rsid w:val="00B23DA6"/>
    <w:rsid w:val="00B23F9E"/>
    <w:rsid w:val="00B24162"/>
    <w:rsid w:val="00B245A6"/>
    <w:rsid w:val="00B245A7"/>
    <w:rsid w:val="00B24927"/>
    <w:rsid w:val="00B25397"/>
    <w:rsid w:val="00B253A7"/>
    <w:rsid w:val="00B25620"/>
    <w:rsid w:val="00B25963"/>
    <w:rsid w:val="00B25FC5"/>
    <w:rsid w:val="00B264B7"/>
    <w:rsid w:val="00B2656E"/>
    <w:rsid w:val="00B2657F"/>
    <w:rsid w:val="00B27673"/>
    <w:rsid w:val="00B2771D"/>
    <w:rsid w:val="00B27805"/>
    <w:rsid w:val="00B27D8A"/>
    <w:rsid w:val="00B309F0"/>
    <w:rsid w:val="00B30A92"/>
    <w:rsid w:val="00B30CA4"/>
    <w:rsid w:val="00B3148E"/>
    <w:rsid w:val="00B318A7"/>
    <w:rsid w:val="00B32023"/>
    <w:rsid w:val="00B3243B"/>
    <w:rsid w:val="00B326F7"/>
    <w:rsid w:val="00B32B93"/>
    <w:rsid w:val="00B32FDD"/>
    <w:rsid w:val="00B33421"/>
    <w:rsid w:val="00B33A8B"/>
    <w:rsid w:val="00B33A97"/>
    <w:rsid w:val="00B341B7"/>
    <w:rsid w:val="00B35280"/>
    <w:rsid w:val="00B35303"/>
    <w:rsid w:val="00B35E34"/>
    <w:rsid w:val="00B362B6"/>
    <w:rsid w:val="00B36557"/>
    <w:rsid w:val="00B366B5"/>
    <w:rsid w:val="00B36AA7"/>
    <w:rsid w:val="00B36D41"/>
    <w:rsid w:val="00B372D5"/>
    <w:rsid w:val="00B37520"/>
    <w:rsid w:val="00B37975"/>
    <w:rsid w:val="00B37984"/>
    <w:rsid w:val="00B37AB4"/>
    <w:rsid w:val="00B37B55"/>
    <w:rsid w:val="00B40188"/>
    <w:rsid w:val="00B40268"/>
    <w:rsid w:val="00B406FE"/>
    <w:rsid w:val="00B4076D"/>
    <w:rsid w:val="00B40AC0"/>
    <w:rsid w:val="00B40BE9"/>
    <w:rsid w:val="00B40DD7"/>
    <w:rsid w:val="00B41015"/>
    <w:rsid w:val="00B410CF"/>
    <w:rsid w:val="00B412C0"/>
    <w:rsid w:val="00B41B96"/>
    <w:rsid w:val="00B41C9C"/>
    <w:rsid w:val="00B41E22"/>
    <w:rsid w:val="00B41E2C"/>
    <w:rsid w:val="00B42025"/>
    <w:rsid w:val="00B4202C"/>
    <w:rsid w:val="00B42173"/>
    <w:rsid w:val="00B427F8"/>
    <w:rsid w:val="00B43605"/>
    <w:rsid w:val="00B43731"/>
    <w:rsid w:val="00B437A4"/>
    <w:rsid w:val="00B437E7"/>
    <w:rsid w:val="00B43DD0"/>
    <w:rsid w:val="00B440DB"/>
    <w:rsid w:val="00B44454"/>
    <w:rsid w:val="00B44634"/>
    <w:rsid w:val="00B44928"/>
    <w:rsid w:val="00B44B06"/>
    <w:rsid w:val="00B44C84"/>
    <w:rsid w:val="00B44D3D"/>
    <w:rsid w:val="00B45291"/>
    <w:rsid w:val="00B4595A"/>
    <w:rsid w:val="00B45DD7"/>
    <w:rsid w:val="00B45ECD"/>
    <w:rsid w:val="00B45F80"/>
    <w:rsid w:val="00B4663B"/>
    <w:rsid w:val="00B472C2"/>
    <w:rsid w:val="00B4746B"/>
    <w:rsid w:val="00B475D2"/>
    <w:rsid w:val="00B47872"/>
    <w:rsid w:val="00B501B3"/>
    <w:rsid w:val="00B50456"/>
    <w:rsid w:val="00B5061A"/>
    <w:rsid w:val="00B5074D"/>
    <w:rsid w:val="00B5121C"/>
    <w:rsid w:val="00B5147C"/>
    <w:rsid w:val="00B51870"/>
    <w:rsid w:val="00B51BD1"/>
    <w:rsid w:val="00B52F3F"/>
    <w:rsid w:val="00B54271"/>
    <w:rsid w:val="00B549EB"/>
    <w:rsid w:val="00B54ED3"/>
    <w:rsid w:val="00B55031"/>
    <w:rsid w:val="00B5503F"/>
    <w:rsid w:val="00B5562E"/>
    <w:rsid w:val="00B55650"/>
    <w:rsid w:val="00B559E0"/>
    <w:rsid w:val="00B56D81"/>
    <w:rsid w:val="00B5714E"/>
    <w:rsid w:val="00B57AD3"/>
    <w:rsid w:val="00B57DCF"/>
    <w:rsid w:val="00B60243"/>
    <w:rsid w:val="00B6051F"/>
    <w:rsid w:val="00B60AA0"/>
    <w:rsid w:val="00B60B67"/>
    <w:rsid w:val="00B60E1D"/>
    <w:rsid w:val="00B61989"/>
    <w:rsid w:val="00B61C47"/>
    <w:rsid w:val="00B61CAF"/>
    <w:rsid w:val="00B61E93"/>
    <w:rsid w:val="00B61FFE"/>
    <w:rsid w:val="00B62D42"/>
    <w:rsid w:val="00B62DA4"/>
    <w:rsid w:val="00B62DDA"/>
    <w:rsid w:val="00B62EBE"/>
    <w:rsid w:val="00B6313C"/>
    <w:rsid w:val="00B63190"/>
    <w:rsid w:val="00B63570"/>
    <w:rsid w:val="00B63650"/>
    <w:rsid w:val="00B638D7"/>
    <w:rsid w:val="00B63AC6"/>
    <w:rsid w:val="00B64DBA"/>
    <w:rsid w:val="00B64FAF"/>
    <w:rsid w:val="00B650B2"/>
    <w:rsid w:val="00B6617A"/>
    <w:rsid w:val="00B66816"/>
    <w:rsid w:val="00B66EC8"/>
    <w:rsid w:val="00B6721A"/>
    <w:rsid w:val="00B6749E"/>
    <w:rsid w:val="00B676D6"/>
    <w:rsid w:val="00B67D11"/>
    <w:rsid w:val="00B70320"/>
    <w:rsid w:val="00B704DA"/>
    <w:rsid w:val="00B70547"/>
    <w:rsid w:val="00B706A1"/>
    <w:rsid w:val="00B70B6B"/>
    <w:rsid w:val="00B70BF4"/>
    <w:rsid w:val="00B70D08"/>
    <w:rsid w:val="00B70E0D"/>
    <w:rsid w:val="00B70EE9"/>
    <w:rsid w:val="00B70FD5"/>
    <w:rsid w:val="00B71250"/>
    <w:rsid w:val="00B71783"/>
    <w:rsid w:val="00B71A13"/>
    <w:rsid w:val="00B71B01"/>
    <w:rsid w:val="00B71CE2"/>
    <w:rsid w:val="00B71DA7"/>
    <w:rsid w:val="00B7220B"/>
    <w:rsid w:val="00B723D8"/>
    <w:rsid w:val="00B725E9"/>
    <w:rsid w:val="00B7260A"/>
    <w:rsid w:val="00B7285A"/>
    <w:rsid w:val="00B72F0C"/>
    <w:rsid w:val="00B73446"/>
    <w:rsid w:val="00B735C1"/>
    <w:rsid w:val="00B74CF1"/>
    <w:rsid w:val="00B75243"/>
    <w:rsid w:val="00B75844"/>
    <w:rsid w:val="00B763B5"/>
    <w:rsid w:val="00B765D7"/>
    <w:rsid w:val="00B766DC"/>
    <w:rsid w:val="00B77775"/>
    <w:rsid w:val="00B80157"/>
    <w:rsid w:val="00B802ED"/>
    <w:rsid w:val="00B8031F"/>
    <w:rsid w:val="00B80BEF"/>
    <w:rsid w:val="00B8104C"/>
    <w:rsid w:val="00B81639"/>
    <w:rsid w:val="00B8170B"/>
    <w:rsid w:val="00B82025"/>
    <w:rsid w:val="00B82028"/>
    <w:rsid w:val="00B820EA"/>
    <w:rsid w:val="00B8321A"/>
    <w:rsid w:val="00B837B9"/>
    <w:rsid w:val="00B83CBD"/>
    <w:rsid w:val="00B83E94"/>
    <w:rsid w:val="00B840F7"/>
    <w:rsid w:val="00B84321"/>
    <w:rsid w:val="00B844CD"/>
    <w:rsid w:val="00B849E7"/>
    <w:rsid w:val="00B84F09"/>
    <w:rsid w:val="00B84F14"/>
    <w:rsid w:val="00B85217"/>
    <w:rsid w:val="00B858D5"/>
    <w:rsid w:val="00B860B8"/>
    <w:rsid w:val="00B86CA5"/>
    <w:rsid w:val="00B8710F"/>
    <w:rsid w:val="00B87389"/>
    <w:rsid w:val="00B8758C"/>
    <w:rsid w:val="00B902F5"/>
    <w:rsid w:val="00B90937"/>
    <w:rsid w:val="00B90AA3"/>
    <w:rsid w:val="00B90AD6"/>
    <w:rsid w:val="00B90D99"/>
    <w:rsid w:val="00B91D6D"/>
    <w:rsid w:val="00B91DC9"/>
    <w:rsid w:val="00B9242F"/>
    <w:rsid w:val="00B92A59"/>
    <w:rsid w:val="00B92B07"/>
    <w:rsid w:val="00B92C27"/>
    <w:rsid w:val="00B93404"/>
    <w:rsid w:val="00B93BF5"/>
    <w:rsid w:val="00B940ED"/>
    <w:rsid w:val="00B9438A"/>
    <w:rsid w:val="00B957B5"/>
    <w:rsid w:val="00B9586C"/>
    <w:rsid w:val="00B967EE"/>
    <w:rsid w:val="00B96EB0"/>
    <w:rsid w:val="00B97309"/>
    <w:rsid w:val="00B973FF"/>
    <w:rsid w:val="00B976AD"/>
    <w:rsid w:val="00B97715"/>
    <w:rsid w:val="00B97834"/>
    <w:rsid w:val="00B97EE5"/>
    <w:rsid w:val="00BA008C"/>
    <w:rsid w:val="00BA0693"/>
    <w:rsid w:val="00BA0BCB"/>
    <w:rsid w:val="00BA0D17"/>
    <w:rsid w:val="00BA15F7"/>
    <w:rsid w:val="00BA16B4"/>
    <w:rsid w:val="00BA17AF"/>
    <w:rsid w:val="00BA19C6"/>
    <w:rsid w:val="00BA1A89"/>
    <w:rsid w:val="00BA1C78"/>
    <w:rsid w:val="00BA1D1C"/>
    <w:rsid w:val="00BA2998"/>
    <w:rsid w:val="00BA314F"/>
    <w:rsid w:val="00BA317B"/>
    <w:rsid w:val="00BA380C"/>
    <w:rsid w:val="00BA3D92"/>
    <w:rsid w:val="00BA46C3"/>
    <w:rsid w:val="00BA4B92"/>
    <w:rsid w:val="00BA55BA"/>
    <w:rsid w:val="00BA5AEA"/>
    <w:rsid w:val="00BA6208"/>
    <w:rsid w:val="00BA629F"/>
    <w:rsid w:val="00BA6890"/>
    <w:rsid w:val="00BA6D53"/>
    <w:rsid w:val="00BA72CB"/>
    <w:rsid w:val="00BA7574"/>
    <w:rsid w:val="00BA7618"/>
    <w:rsid w:val="00BA7E3F"/>
    <w:rsid w:val="00BA7F03"/>
    <w:rsid w:val="00BB130E"/>
    <w:rsid w:val="00BB1330"/>
    <w:rsid w:val="00BB1ADF"/>
    <w:rsid w:val="00BB1C68"/>
    <w:rsid w:val="00BB2551"/>
    <w:rsid w:val="00BB25EE"/>
    <w:rsid w:val="00BB268C"/>
    <w:rsid w:val="00BB2728"/>
    <w:rsid w:val="00BB3464"/>
    <w:rsid w:val="00BB3689"/>
    <w:rsid w:val="00BB4595"/>
    <w:rsid w:val="00BB46DA"/>
    <w:rsid w:val="00BB47C0"/>
    <w:rsid w:val="00BB4A87"/>
    <w:rsid w:val="00BB5281"/>
    <w:rsid w:val="00BB5AAC"/>
    <w:rsid w:val="00BB6141"/>
    <w:rsid w:val="00BB6205"/>
    <w:rsid w:val="00BB67D0"/>
    <w:rsid w:val="00BB6A89"/>
    <w:rsid w:val="00BC0277"/>
    <w:rsid w:val="00BC06F7"/>
    <w:rsid w:val="00BC0C7D"/>
    <w:rsid w:val="00BC0F51"/>
    <w:rsid w:val="00BC1666"/>
    <w:rsid w:val="00BC1834"/>
    <w:rsid w:val="00BC1F5E"/>
    <w:rsid w:val="00BC26E2"/>
    <w:rsid w:val="00BC2E87"/>
    <w:rsid w:val="00BC3403"/>
    <w:rsid w:val="00BC372F"/>
    <w:rsid w:val="00BC3A1B"/>
    <w:rsid w:val="00BC403B"/>
    <w:rsid w:val="00BC4C43"/>
    <w:rsid w:val="00BC4D86"/>
    <w:rsid w:val="00BC5394"/>
    <w:rsid w:val="00BC5835"/>
    <w:rsid w:val="00BC5AB5"/>
    <w:rsid w:val="00BC6413"/>
    <w:rsid w:val="00BC68AF"/>
    <w:rsid w:val="00BC788C"/>
    <w:rsid w:val="00BC78BA"/>
    <w:rsid w:val="00BD0207"/>
    <w:rsid w:val="00BD0274"/>
    <w:rsid w:val="00BD0486"/>
    <w:rsid w:val="00BD065A"/>
    <w:rsid w:val="00BD06D0"/>
    <w:rsid w:val="00BD0BF1"/>
    <w:rsid w:val="00BD0F1C"/>
    <w:rsid w:val="00BD1135"/>
    <w:rsid w:val="00BD1875"/>
    <w:rsid w:val="00BD1DA1"/>
    <w:rsid w:val="00BD22E3"/>
    <w:rsid w:val="00BD2597"/>
    <w:rsid w:val="00BD272D"/>
    <w:rsid w:val="00BD29E5"/>
    <w:rsid w:val="00BD2AB7"/>
    <w:rsid w:val="00BD2BDB"/>
    <w:rsid w:val="00BD3095"/>
    <w:rsid w:val="00BD3BF2"/>
    <w:rsid w:val="00BD40D1"/>
    <w:rsid w:val="00BD42BB"/>
    <w:rsid w:val="00BD44D9"/>
    <w:rsid w:val="00BD46E0"/>
    <w:rsid w:val="00BD5232"/>
    <w:rsid w:val="00BD5778"/>
    <w:rsid w:val="00BD5B44"/>
    <w:rsid w:val="00BD5D76"/>
    <w:rsid w:val="00BD64F1"/>
    <w:rsid w:val="00BD6AB5"/>
    <w:rsid w:val="00BD7156"/>
    <w:rsid w:val="00BD7771"/>
    <w:rsid w:val="00BD7EDE"/>
    <w:rsid w:val="00BE0002"/>
    <w:rsid w:val="00BE02E4"/>
    <w:rsid w:val="00BE12D6"/>
    <w:rsid w:val="00BE1563"/>
    <w:rsid w:val="00BE17D2"/>
    <w:rsid w:val="00BE1A2F"/>
    <w:rsid w:val="00BE1B5B"/>
    <w:rsid w:val="00BE2484"/>
    <w:rsid w:val="00BE266E"/>
    <w:rsid w:val="00BE26EE"/>
    <w:rsid w:val="00BE2C56"/>
    <w:rsid w:val="00BE3428"/>
    <w:rsid w:val="00BE349F"/>
    <w:rsid w:val="00BE3926"/>
    <w:rsid w:val="00BE3DF0"/>
    <w:rsid w:val="00BE3F25"/>
    <w:rsid w:val="00BE3FB9"/>
    <w:rsid w:val="00BE4E2C"/>
    <w:rsid w:val="00BE5B18"/>
    <w:rsid w:val="00BE695A"/>
    <w:rsid w:val="00BE701A"/>
    <w:rsid w:val="00BE72CD"/>
    <w:rsid w:val="00BE79C6"/>
    <w:rsid w:val="00BE7B91"/>
    <w:rsid w:val="00BE7C87"/>
    <w:rsid w:val="00BE7CB8"/>
    <w:rsid w:val="00BE7EF1"/>
    <w:rsid w:val="00BF002F"/>
    <w:rsid w:val="00BF0D2C"/>
    <w:rsid w:val="00BF14B3"/>
    <w:rsid w:val="00BF18AE"/>
    <w:rsid w:val="00BF1B6E"/>
    <w:rsid w:val="00BF1E0C"/>
    <w:rsid w:val="00BF2D59"/>
    <w:rsid w:val="00BF2E55"/>
    <w:rsid w:val="00BF3303"/>
    <w:rsid w:val="00BF372E"/>
    <w:rsid w:val="00BF3920"/>
    <w:rsid w:val="00BF3B60"/>
    <w:rsid w:val="00BF3EBD"/>
    <w:rsid w:val="00BF4023"/>
    <w:rsid w:val="00BF4052"/>
    <w:rsid w:val="00BF4E39"/>
    <w:rsid w:val="00BF5064"/>
    <w:rsid w:val="00BF56A0"/>
    <w:rsid w:val="00BF5B10"/>
    <w:rsid w:val="00BF5BF7"/>
    <w:rsid w:val="00BF61B8"/>
    <w:rsid w:val="00BF62A8"/>
    <w:rsid w:val="00BF6957"/>
    <w:rsid w:val="00BF69CC"/>
    <w:rsid w:val="00BF7152"/>
    <w:rsid w:val="00BF74E7"/>
    <w:rsid w:val="00BF7F97"/>
    <w:rsid w:val="00C00109"/>
    <w:rsid w:val="00C00C54"/>
    <w:rsid w:val="00C00F5C"/>
    <w:rsid w:val="00C01673"/>
    <w:rsid w:val="00C016BC"/>
    <w:rsid w:val="00C01839"/>
    <w:rsid w:val="00C018C4"/>
    <w:rsid w:val="00C01A93"/>
    <w:rsid w:val="00C01ACF"/>
    <w:rsid w:val="00C0231A"/>
    <w:rsid w:val="00C02CFB"/>
    <w:rsid w:val="00C03564"/>
    <w:rsid w:val="00C036D4"/>
    <w:rsid w:val="00C039CC"/>
    <w:rsid w:val="00C0484B"/>
    <w:rsid w:val="00C05184"/>
    <w:rsid w:val="00C05270"/>
    <w:rsid w:val="00C05309"/>
    <w:rsid w:val="00C053D8"/>
    <w:rsid w:val="00C0563E"/>
    <w:rsid w:val="00C05640"/>
    <w:rsid w:val="00C05706"/>
    <w:rsid w:val="00C05D61"/>
    <w:rsid w:val="00C05E91"/>
    <w:rsid w:val="00C0670E"/>
    <w:rsid w:val="00C06D00"/>
    <w:rsid w:val="00C06E9F"/>
    <w:rsid w:val="00C07776"/>
    <w:rsid w:val="00C079F8"/>
    <w:rsid w:val="00C07A41"/>
    <w:rsid w:val="00C07B17"/>
    <w:rsid w:val="00C07FF5"/>
    <w:rsid w:val="00C10A94"/>
    <w:rsid w:val="00C10B35"/>
    <w:rsid w:val="00C10F09"/>
    <w:rsid w:val="00C10F6E"/>
    <w:rsid w:val="00C11440"/>
    <w:rsid w:val="00C11A25"/>
    <w:rsid w:val="00C1267B"/>
    <w:rsid w:val="00C127FF"/>
    <w:rsid w:val="00C1284F"/>
    <w:rsid w:val="00C129C2"/>
    <w:rsid w:val="00C12B95"/>
    <w:rsid w:val="00C12C51"/>
    <w:rsid w:val="00C12FF1"/>
    <w:rsid w:val="00C131EC"/>
    <w:rsid w:val="00C1322E"/>
    <w:rsid w:val="00C135C6"/>
    <w:rsid w:val="00C13D23"/>
    <w:rsid w:val="00C141AF"/>
    <w:rsid w:val="00C14503"/>
    <w:rsid w:val="00C1491E"/>
    <w:rsid w:val="00C14E0C"/>
    <w:rsid w:val="00C14F46"/>
    <w:rsid w:val="00C166A0"/>
    <w:rsid w:val="00C16DAB"/>
    <w:rsid w:val="00C16E55"/>
    <w:rsid w:val="00C17888"/>
    <w:rsid w:val="00C17942"/>
    <w:rsid w:val="00C17F55"/>
    <w:rsid w:val="00C21015"/>
    <w:rsid w:val="00C21074"/>
    <w:rsid w:val="00C211AE"/>
    <w:rsid w:val="00C2176C"/>
    <w:rsid w:val="00C21994"/>
    <w:rsid w:val="00C21D01"/>
    <w:rsid w:val="00C22102"/>
    <w:rsid w:val="00C22121"/>
    <w:rsid w:val="00C221AB"/>
    <w:rsid w:val="00C22254"/>
    <w:rsid w:val="00C22480"/>
    <w:rsid w:val="00C226B5"/>
    <w:rsid w:val="00C22873"/>
    <w:rsid w:val="00C2287A"/>
    <w:rsid w:val="00C22B26"/>
    <w:rsid w:val="00C236EF"/>
    <w:rsid w:val="00C23865"/>
    <w:rsid w:val="00C23F21"/>
    <w:rsid w:val="00C246F1"/>
    <w:rsid w:val="00C24B99"/>
    <w:rsid w:val="00C25269"/>
    <w:rsid w:val="00C2582F"/>
    <w:rsid w:val="00C25D2A"/>
    <w:rsid w:val="00C263B9"/>
    <w:rsid w:val="00C26E1E"/>
    <w:rsid w:val="00C277FD"/>
    <w:rsid w:val="00C27BA0"/>
    <w:rsid w:val="00C27DFF"/>
    <w:rsid w:val="00C27ECE"/>
    <w:rsid w:val="00C30398"/>
    <w:rsid w:val="00C30716"/>
    <w:rsid w:val="00C314D3"/>
    <w:rsid w:val="00C31591"/>
    <w:rsid w:val="00C31D4A"/>
    <w:rsid w:val="00C31E7E"/>
    <w:rsid w:val="00C321FB"/>
    <w:rsid w:val="00C32744"/>
    <w:rsid w:val="00C32BB6"/>
    <w:rsid w:val="00C32E5C"/>
    <w:rsid w:val="00C330F5"/>
    <w:rsid w:val="00C33276"/>
    <w:rsid w:val="00C336DC"/>
    <w:rsid w:val="00C33886"/>
    <w:rsid w:val="00C33A95"/>
    <w:rsid w:val="00C33C55"/>
    <w:rsid w:val="00C33DDF"/>
    <w:rsid w:val="00C34029"/>
    <w:rsid w:val="00C34299"/>
    <w:rsid w:val="00C342C5"/>
    <w:rsid w:val="00C3462F"/>
    <w:rsid w:val="00C34708"/>
    <w:rsid w:val="00C3510A"/>
    <w:rsid w:val="00C353E8"/>
    <w:rsid w:val="00C35E91"/>
    <w:rsid w:val="00C366F3"/>
    <w:rsid w:val="00C3693E"/>
    <w:rsid w:val="00C37285"/>
    <w:rsid w:val="00C372E2"/>
    <w:rsid w:val="00C37538"/>
    <w:rsid w:val="00C37719"/>
    <w:rsid w:val="00C37B0D"/>
    <w:rsid w:val="00C403FD"/>
    <w:rsid w:val="00C40429"/>
    <w:rsid w:val="00C40AF8"/>
    <w:rsid w:val="00C414E5"/>
    <w:rsid w:val="00C41722"/>
    <w:rsid w:val="00C4197E"/>
    <w:rsid w:val="00C41DA1"/>
    <w:rsid w:val="00C41F3A"/>
    <w:rsid w:val="00C42BDE"/>
    <w:rsid w:val="00C42F28"/>
    <w:rsid w:val="00C42FB4"/>
    <w:rsid w:val="00C430D8"/>
    <w:rsid w:val="00C43193"/>
    <w:rsid w:val="00C4360C"/>
    <w:rsid w:val="00C43E09"/>
    <w:rsid w:val="00C4471A"/>
    <w:rsid w:val="00C44727"/>
    <w:rsid w:val="00C450DD"/>
    <w:rsid w:val="00C45379"/>
    <w:rsid w:val="00C453E5"/>
    <w:rsid w:val="00C45731"/>
    <w:rsid w:val="00C45F1C"/>
    <w:rsid w:val="00C46213"/>
    <w:rsid w:val="00C46CCA"/>
    <w:rsid w:val="00C4745B"/>
    <w:rsid w:val="00C47586"/>
    <w:rsid w:val="00C47749"/>
    <w:rsid w:val="00C47966"/>
    <w:rsid w:val="00C50019"/>
    <w:rsid w:val="00C507F3"/>
    <w:rsid w:val="00C50F0C"/>
    <w:rsid w:val="00C51760"/>
    <w:rsid w:val="00C51D02"/>
    <w:rsid w:val="00C5212B"/>
    <w:rsid w:val="00C52380"/>
    <w:rsid w:val="00C52974"/>
    <w:rsid w:val="00C52ABF"/>
    <w:rsid w:val="00C52AD5"/>
    <w:rsid w:val="00C53197"/>
    <w:rsid w:val="00C53B3B"/>
    <w:rsid w:val="00C53BD4"/>
    <w:rsid w:val="00C53E5F"/>
    <w:rsid w:val="00C5485C"/>
    <w:rsid w:val="00C55381"/>
    <w:rsid w:val="00C55782"/>
    <w:rsid w:val="00C55789"/>
    <w:rsid w:val="00C558E9"/>
    <w:rsid w:val="00C55D4B"/>
    <w:rsid w:val="00C55F15"/>
    <w:rsid w:val="00C56CE8"/>
    <w:rsid w:val="00C56F2D"/>
    <w:rsid w:val="00C57016"/>
    <w:rsid w:val="00C57645"/>
    <w:rsid w:val="00C579D3"/>
    <w:rsid w:val="00C60428"/>
    <w:rsid w:val="00C6046C"/>
    <w:rsid w:val="00C60B9E"/>
    <w:rsid w:val="00C61607"/>
    <w:rsid w:val="00C616AB"/>
    <w:rsid w:val="00C618D3"/>
    <w:rsid w:val="00C61AE9"/>
    <w:rsid w:val="00C61C2E"/>
    <w:rsid w:val="00C62072"/>
    <w:rsid w:val="00C62094"/>
    <w:rsid w:val="00C62DB7"/>
    <w:rsid w:val="00C6324D"/>
    <w:rsid w:val="00C63854"/>
    <w:rsid w:val="00C644F1"/>
    <w:rsid w:val="00C64908"/>
    <w:rsid w:val="00C649A1"/>
    <w:rsid w:val="00C64A16"/>
    <w:rsid w:val="00C64A58"/>
    <w:rsid w:val="00C64CC9"/>
    <w:rsid w:val="00C64E1D"/>
    <w:rsid w:val="00C651E8"/>
    <w:rsid w:val="00C66514"/>
    <w:rsid w:val="00C6659C"/>
    <w:rsid w:val="00C66E91"/>
    <w:rsid w:val="00C67074"/>
    <w:rsid w:val="00C7051B"/>
    <w:rsid w:val="00C707FE"/>
    <w:rsid w:val="00C7093A"/>
    <w:rsid w:val="00C70ABA"/>
    <w:rsid w:val="00C70D13"/>
    <w:rsid w:val="00C70E34"/>
    <w:rsid w:val="00C71250"/>
    <w:rsid w:val="00C715F3"/>
    <w:rsid w:val="00C72522"/>
    <w:rsid w:val="00C72A3D"/>
    <w:rsid w:val="00C72CC8"/>
    <w:rsid w:val="00C7307A"/>
    <w:rsid w:val="00C734C7"/>
    <w:rsid w:val="00C735C6"/>
    <w:rsid w:val="00C7381D"/>
    <w:rsid w:val="00C73982"/>
    <w:rsid w:val="00C73A98"/>
    <w:rsid w:val="00C73B00"/>
    <w:rsid w:val="00C74150"/>
    <w:rsid w:val="00C7498A"/>
    <w:rsid w:val="00C74D4E"/>
    <w:rsid w:val="00C7568F"/>
    <w:rsid w:val="00C7583D"/>
    <w:rsid w:val="00C7589F"/>
    <w:rsid w:val="00C7603D"/>
    <w:rsid w:val="00C761D9"/>
    <w:rsid w:val="00C762A8"/>
    <w:rsid w:val="00C7645F"/>
    <w:rsid w:val="00C765FC"/>
    <w:rsid w:val="00C76E55"/>
    <w:rsid w:val="00C77438"/>
    <w:rsid w:val="00C77475"/>
    <w:rsid w:val="00C77570"/>
    <w:rsid w:val="00C7758D"/>
    <w:rsid w:val="00C77B07"/>
    <w:rsid w:val="00C801C8"/>
    <w:rsid w:val="00C80D45"/>
    <w:rsid w:val="00C81153"/>
    <w:rsid w:val="00C81B74"/>
    <w:rsid w:val="00C81BF6"/>
    <w:rsid w:val="00C81F7C"/>
    <w:rsid w:val="00C82A40"/>
    <w:rsid w:val="00C82AC1"/>
    <w:rsid w:val="00C82B2F"/>
    <w:rsid w:val="00C82D37"/>
    <w:rsid w:val="00C82E81"/>
    <w:rsid w:val="00C82F05"/>
    <w:rsid w:val="00C83F28"/>
    <w:rsid w:val="00C842C2"/>
    <w:rsid w:val="00C84A79"/>
    <w:rsid w:val="00C84DE4"/>
    <w:rsid w:val="00C8514C"/>
    <w:rsid w:val="00C8518C"/>
    <w:rsid w:val="00C8524A"/>
    <w:rsid w:val="00C85C12"/>
    <w:rsid w:val="00C85C13"/>
    <w:rsid w:val="00C85CF5"/>
    <w:rsid w:val="00C86114"/>
    <w:rsid w:val="00C8614C"/>
    <w:rsid w:val="00C86207"/>
    <w:rsid w:val="00C8653F"/>
    <w:rsid w:val="00C865F3"/>
    <w:rsid w:val="00C86A05"/>
    <w:rsid w:val="00C86AD0"/>
    <w:rsid w:val="00C86D57"/>
    <w:rsid w:val="00C87716"/>
    <w:rsid w:val="00C8775D"/>
    <w:rsid w:val="00C877DA"/>
    <w:rsid w:val="00C87CB0"/>
    <w:rsid w:val="00C87E02"/>
    <w:rsid w:val="00C900FE"/>
    <w:rsid w:val="00C90854"/>
    <w:rsid w:val="00C90ADB"/>
    <w:rsid w:val="00C913AD"/>
    <w:rsid w:val="00C928F9"/>
    <w:rsid w:val="00C92D1C"/>
    <w:rsid w:val="00C9342A"/>
    <w:rsid w:val="00C93D3B"/>
    <w:rsid w:val="00C93EB7"/>
    <w:rsid w:val="00C94249"/>
    <w:rsid w:val="00C94972"/>
    <w:rsid w:val="00C94B00"/>
    <w:rsid w:val="00C94B73"/>
    <w:rsid w:val="00C9505E"/>
    <w:rsid w:val="00C9507F"/>
    <w:rsid w:val="00C95348"/>
    <w:rsid w:val="00C95436"/>
    <w:rsid w:val="00C95563"/>
    <w:rsid w:val="00C9567F"/>
    <w:rsid w:val="00C957F3"/>
    <w:rsid w:val="00C95D4B"/>
    <w:rsid w:val="00C960D4"/>
    <w:rsid w:val="00C96428"/>
    <w:rsid w:val="00C96EF5"/>
    <w:rsid w:val="00CA00C6"/>
    <w:rsid w:val="00CA0210"/>
    <w:rsid w:val="00CA06DB"/>
    <w:rsid w:val="00CA151C"/>
    <w:rsid w:val="00CA1654"/>
    <w:rsid w:val="00CA1F3F"/>
    <w:rsid w:val="00CA1F93"/>
    <w:rsid w:val="00CA22B4"/>
    <w:rsid w:val="00CA23BC"/>
    <w:rsid w:val="00CA248B"/>
    <w:rsid w:val="00CA24D1"/>
    <w:rsid w:val="00CA276A"/>
    <w:rsid w:val="00CA33F8"/>
    <w:rsid w:val="00CA37D7"/>
    <w:rsid w:val="00CA3835"/>
    <w:rsid w:val="00CA3AC7"/>
    <w:rsid w:val="00CA4628"/>
    <w:rsid w:val="00CA46CE"/>
    <w:rsid w:val="00CA4AE8"/>
    <w:rsid w:val="00CA518A"/>
    <w:rsid w:val="00CA5473"/>
    <w:rsid w:val="00CA591F"/>
    <w:rsid w:val="00CA59E7"/>
    <w:rsid w:val="00CA62F7"/>
    <w:rsid w:val="00CA6727"/>
    <w:rsid w:val="00CA7064"/>
    <w:rsid w:val="00CA779F"/>
    <w:rsid w:val="00CA7BA8"/>
    <w:rsid w:val="00CA7D38"/>
    <w:rsid w:val="00CA7F5F"/>
    <w:rsid w:val="00CB00D6"/>
    <w:rsid w:val="00CB03C0"/>
    <w:rsid w:val="00CB0FFA"/>
    <w:rsid w:val="00CB1002"/>
    <w:rsid w:val="00CB120B"/>
    <w:rsid w:val="00CB133E"/>
    <w:rsid w:val="00CB139B"/>
    <w:rsid w:val="00CB16DB"/>
    <w:rsid w:val="00CB191A"/>
    <w:rsid w:val="00CB1AF0"/>
    <w:rsid w:val="00CB1C87"/>
    <w:rsid w:val="00CB1E62"/>
    <w:rsid w:val="00CB2971"/>
    <w:rsid w:val="00CB2A86"/>
    <w:rsid w:val="00CB2FB6"/>
    <w:rsid w:val="00CB330B"/>
    <w:rsid w:val="00CB3356"/>
    <w:rsid w:val="00CB338A"/>
    <w:rsid w:val="00CB3CCE"/>
    <w:rsid w:val="00CB3F20"/>
    <w:rsid w:val="00CB4388"/>
    <w:rsid w:val="00CB4673"/>
    <w:rsid w:val="00CB46CE"/>
    <w:rsid w:val="00CB49EC"/>
    <w:rsid w:val="00CB4D9A"/>
    <w:rsid w:val="00CB5153"/>
    <w:rsid w:val="00CB579B"/>
    <w:rsid w:val="00CB5911"/>
    <w:rsid w:val="00CB5B19"/>
    <w:rsid w:val="00CB5D15"/>
    <w:rsid w:val="00CB7B12"/>
    <w:rsid w:val="00CB7B69"/>
    <w:rsid w:val="00CC048D"/>
    <w:rsid w:val="00CC0547"/>
    <w:rsid w:val="00CC0560"/>
    <w:rsid w:val="00CC0EB0"/>
    <w:rsid w:val="00CC0F3B"/>
    <w:rsid w:val="00CC112C"/>
    <w:rsid w:val="00CC11B5"/>
    <w:rsid w:val="00CC1E46"/>
    <w:rsid w:val="00CC1FE1"/>
    <w:rsid w:val="00CC2426"/>
    <w:rsid w:val="00CC2898"/>
    <w:rsid w:val="00CC2BD6"/>
    <w:rsid w:val="00CC2CA2"/>
    <w:rsid w:val="00CC2E47"/>
    <w:rsid w:val="00CC30CF"/>
    <w:rsid w:val="00CC3561"/>
    <w:rsid w:val="00CC488F"/>
    <w:rsid w:val="00CC4A95"/>
    <w:rsid w:val="00CC4DB3"/>
    <w:rsid w:val="00CC5DFC"/>
    <w:rsid w:val="00CC601F"/>
    <w:rsid w:val="00CC62F9"/>
    <w:rsid w:val="00CC6E09"/>
    <w:rsid w:val="00CC7217"/>
    <w:rsid w:val="00CC725F"/>
    <w:rsid w:val="00CC7360"/>
    <w:rsid w:val="00CC7625"/>
    <w:rsid w:val="00CC77E5"/>
    <w:rsid w:val="00CC7B05"/>
    <w:rsid w:val="00CC7C56"/>
    <w:rsid w:val="00CD029C"/>
    <w:rsid w:val="00CD02B3"/>
    <w:rsid w:val="00CD0666"/>
    <w:rsid w:val="00CD0829"/>
    <w:rsid w:val="00CD13C3"/>
    <w:rsid w:val="00CD1565"/>
    <w:rsid w:val="00CD1867"/>
    <w:rsid w:val="00CD19BC"/>
    <w:rsid w:val="00CD2635"/>
    <w:rsid w:val="00CD2941"/>
    <w:rsid w:val="00CD2A22"/>
    <w:rsid w:val="00CD2A43"/>
    <w:rsid w:val="00CD2A57"/>
    <w:rsid w:val="00CD2B25"/>
    <w:rsid w:val="00CD2B36"/>
    <w:rsid w:val="00CD2FFB"/>
    <w:rsid w:val="00CD38FA"/>
    <w:rsid w:val="00CD3E0F"/>
    <w:rsid w:val="00CD40EA"/>
    <w:rsid w:val="00CD481C"/>
    <w:rsid w:val="00CD4BEC"/>
    <w:rsid w:val="00CD4E82"/>
    <w:rsid w:val="00CD4F3F"/>
    <w:rsid w:val="00CD5028"/>
    <w:rsid w:val="00CD52F5"/>
    <w:rsid w:val="00CD5372"/>
    <w:rsid w:val="00CD57FF"/>
    <w:rsid w:val="00CD5C4A"/>
    <w:rsid w:val="00CD61AF"/>
    <w:rsid w:val="00CD670B"/>
    <w:rsid w:val="00CD6B61"/>
    <w:rsid w:val="00CD6CFD"/>
    <w:rsid w:val="00CD70CA"/>
    <w:rsid w:val="00CD7350"/>
    <w:rsid w:val="00CD77E3"/>
    <w:rsid w:val="00CD7F94"/>
    <w:rsid w:val="00CE00B9"/>
    <w:rsid w:val="00CE0208"/>
    <w:rsid w:val="00CE0455"/>
    <w:rsid w:val="00CE08A5"/>
    <w:rsid w:val="00CE0ACC"/>
    <w:rsid w:val="00CE0CFA"/>
    <w:rsid w:val="00CE0D22"/>
    <w:rsid w:val="00CE0E3E"/>
    <w:rsid w:val="00CE158A"/>
    <w:rsid w:val="00CE1800"/>
    <w:rsid w:val="00CE2043"/>
    <w:rsid w:val="00CE2628"/>
    <w:rsid w:val="00CE2ABC"/>
    <w:rsid w:val="00CE2AC0"/>
    <w:rsid w:val="00CE2B49"/>
    <w:rsid w:val="00CE2DC7"/>
    <w:rsid w:val="00CE2E90"/>
    <w:rsid w:val="00CE2ED7"/>
    <w:rsid w:val="00CE375D"/>
    <w:rsid w:val="00CE3AF1"/>
    <w:rsid w:val="00CE3C8B"/>
    <w:rsid w:val="00CE3DD8"/>
    <w:rsid w:val="00CE3FEA"/>
    <w:rsid w:val="00CE4044"/>
    <w:rsid w:val="00CE47AE"/>
    <w:rsid w:val="00CE4E46"/>
    <w:rsid w:val="00CE4F7D"/>
    <w:rsid w:val="00CE58B1"/>
    <w:rsid w:val="00CE606E"/>
    <w:rsid w:val="00CE6185"/>
    <w:rsid w:val="00CE70D4"/>
    <w:rsid w:val="00CF0073"/>
    <w:rsid w:val="00CF01A4"/>
    <w:rsid w:val="00CF07A0"/>
    <w:rsid w:val="00CF087D"/>
    <w:rsid w:val="00CF0966"/>
    <w:rsid w:val="00CF12F6"/>
    <w:rsid w:val="00CF2639"/>
    <w:rsid w:val="00CF2683"/>
    <w:rsid w:val="00CF30F4"/>
    <w:rsid w:val="00CF31DA"/>
    <w:rsid w:val="00CF3459"/>
    <w:rsid w:val="00CF38B6"/>
    <w:rsid w:val="00CF3A2D"/>
    <w:rsid w:val="00CF3BAF"/>
    <w:rsid w:val="00CF4042"/>
    <w:rsid w:val="00CF42AD"/>
    <w:rsid w:val="00CF461F"/>
    <w:rsid w:val="00CF4855"/>
    <w:rsid w:val="00CF509B"/>
    <w:rsid w:val="00CF51A6"/>
    <w:rsid w:val="00CF5446"/>
    <w:rsid w:val="00CF55A5"/>
    <w:rsid w:val="00CF56F1"/>
    <w:rsid w:val="00CF588F"/>
    <w:rsid w:val="00CF5F43"/>
    <w:rsid w:val="00CF6D32"/>
    <w:rsid w:val="00CF7002"/>
    <w:rsid w:val="00CF7339"/>
    <w:rsid w:val="00CF7A46"/>
    <w:rsid w:val="00CF7AAD"/>
    <w:rsid w:val="00D00045"/>
    <w:rsid w:val="00D001E1"/>
    <w:rsid w:val="00D00651"/>
    <w:rsid w:val="00D00D44"/>
    <w:rsid w:val="00D00F5E"/>
    <w:rsid w:val="00D011E5"/>
    <w:rsid w:val="00D01630"/>
    <w:rsid w:val="00D018E0"/>
    <w:rsid w:val="00D01984"/>
    <w:rsid w:val="00D019DA"/>
    <w:rsid w:val="00D0337F"/>
    <w:rsid w:val="00D0354A"/>
    <w:rsid w:val="00D03B6D"/>
    <w:rsid w:val="00D04337"/>
    <w:rsid w:val="00D04571"/>
    <w:rsid w:val="00D046B3"/>
    <w:rsid w:val="00D0480C"/>
    <w:rsid w:val="00D0509D"/>
    <w:rsid w:val="00D05324"/>
    <w:rsid w:val="00D0543B"/>
    <w:rsid w:val="00D05782"/>
    <w:rsid w:val="00D05D9D"/>
    <w:rsid w:val="00D05E76"/>
    <w:rsid w:val="00D06125"/>
    <w:rsid w:val="00D0624D"/>
    <w:rsid w:val="00D06591"/>
    <w:rsid w:val="00D06745"/>
    <w:rsid w:val="00D06A1B"/>
    <w:rsid w:val="00D072D3"/>
    <w:rsid w:val="00D07325"/>
    <w:rsid w:val="00D075E6"/>
    <w:rsid w:val="00D07B72"/>
    <w:rsid w:val="00D10B2B"/>
    <w:rsid w:val="00D1112E"/>
    <w:rsid w:val="00D12284"/>
    <w:rsid w:val="00D12298"/>
    <w:rsid w:val="00D122ED"/>
    <w:rsid w:val="00D128B9"/>
    <w:rsid w:val="00D128CD"/>
    <w:rsid w:val="00D12949"/>
    <w:rsid w:val="00D12A4C"/>
    <w:rsid w:val="00D12AE7"/>
    <w:rsid w:val="00D135B8"/>
    <w:rsid w:val="00D13AA1"/>
    <w:rsid w:val="00D13E62"/>
    <w:rsid w:val="00D14515"/>
    <w:rsid w:val="00D14AD5"/>
    <w:rsid w:val="00D14DA8"/>
    <w:rsid w:val="00D14F95"/>
    <w:rsid w:val="00D1523D"/>
    <w:rsid w:val="00D15481"/>
    <w:rsid w:val="00D158BD"/>
    <w:rsid w:val="00D15B8F"/>
    <w:rsid w:val="00D15C46"/>
    <w:rsid w:val="00D15F02"/>
    <w:rsid w:val="00D16209"/>
    <w:rsid w:val="00D16313"/>
    <w:rsid w:val="00D1656C"/>
    <w:rsid w:val="00D16783"/>
    <w:rsid w:val="00D16A3B"/>
    <w:rsid w:val="00D16FDC"/>
    <w:rsid w:val="00D171DD"/>
    <w:rsid w:val="00D178D0"/>
    <w:rsid w:val="00D179EC"/>
    <w:rsid w:val="00D17E6E"/>
    <w:rsid w:val="00D17FB0"/>
    <w:rsid w:val="00D2014C"/>
    <w:rsid w:val="00D2045D"/>
    <w:rsid w:val="00D20EC8"/>
    <w:rsid w:val="00D211B4"/>
    <w:rsid w:val="00D21E13"/>
    <w:rsid w:val="00D22097"/>
    <w:rsid w:val="00D2265E"/>
    <w:rsid w:val="00D22817"/>
    <w:rsid w:val="00D22B1E"/>
    <w:rsid w:val="00D2300D"/>
    <w:rsid w:val="00D2361A"/>
    <w:rsid w:val="00D236B7"/>
    <w:rsid w:val="00D237E3"/>
    <w:rsid w:val="00D23865"/>
    <w:rsid w:val="00D23F90"/>
    <w:rsid w:val="00D24329"/>
    <w:rsid w:val="00D24B75"/>
    <w:rsid w:val="00D2502C"/>
    <w:rsid w:val="00D25360"/>
    <w:rsid w:val="00D25562"/>
    <w:rsid w:val="00D25870"/>
    <w:rsid w:val="00D260A0"/>
    <w:rsid w:val="00D26254"/>
    <w:rsid w:val="00D26300"/>
    <w:rsid w:val="00D26491"/>
    <w:rsid w:val="00D26D67"/>
    <w:rsid w:val="00D26EDB"/>
    <w:rsid w:val="00D26F7F"/>
    <w:rsid w:val="00D275D8"/>
    <w:rsid w:val="00D276FE"/>
    <w:rsid w:val="00D27770"/>
    <w:rsid w:val="00D27777"/>
    <w:rsid w:val="00D277E4"/>
    <w:rsid w:val="00D27E79"/>
    <w:rsid w:val="00D302E4"/>
    <w:rsid w:val="00D3097C"/>
    <w:rsid w:val="00D30A86"/>
    <w:rsid w:val="00D30D8A"/>
    <w:rsid w:val="00D30F45"/>
    <w:rsid w:val="00D31091"/>
    <w:rsid w:val="00D311E8"/>
    <w:rsid w:val="00D319FB"/>
    <w:rsid w:val="00D31A65"/>
    <w:rsid w:val="00D31AB7"/>
    <w:rsid w:val="00D31C2F"/>
    <w:rsid w:val="00D31C96"/>
    <w:rsid w:val="00D31F3E"/>
    <w:rsid w:val="00D32D80"/>
    <w:rsid w:val="00D33061"/>
    <w:rsid w:val="00D332E2"/>
    <w:rsid w:val="00D33466"/>
    <w:rsid w:val="00D33781"/>
    <w:rsid w:val="00D33A6B"/>
    <w:rsid w:val="00D33A94"/>
    <w:rsid w:val="00D33D63"/>
    <w:rsid w:val="00D34050"/>
    <w:rsid w:val="00D342A8"/>
    <w:rsid w:val="00D342F7"/>
    <w:rsid w:val="00D34B99"/>
    <w:rsid w:val="00D34E3A"/>
    <w:rsid w:val="00D35CFF"/>
    <w:rsid w:val="00D36B69"/>
    <w:rsid w:val="00D36DE5"/>
    <w:rsid w:val="00D37250"/>
    <w:rsid w:val="00D37606"/>
    <w:rsid w:val="00D37812"/>
    <w:rsid w:val="00D378B0"/>
    <w:rsid w:val="00D400F5"/>
    <w:rsid w:val="00D40190"/>
    <w:rsid w:val="00D401EF"/>
    <w:rsid w:val="00D40B32"/>
    <w:rsid w:val="00D40CF8"/>
    <w:rsid w:val="00D40EAB"/>
    <w:rsid w:val="00D410E7"/>
    <w:rsid w:val="00D4152D"/>
    <w:rsid w:val="00D4192C"/>
    <w:rsid w:val="00D419F5"/>
    <w:rsid w:val="00D41E2E"/>
    <w:rsid w:val="00D429C6"/>
    <w:rsid w:val="00D434A6"/>
    <w:rsid w:val="00D43A3C"/>
    <w:rsid w:val="00D43B44"/>
    <w:rsid w:val="00D43B8D"/>
    <w:rsid w:val="00D43E10"/>
    <w:rsid w:val="00D43EF3"/>
    <w:rsid w:val="00D4403D"/>
    <w:rsid w:val="00D44308"/>
    <w:rsid w:val="00D4463C"/>
    <w:rsid w:val="00D448C6"/>
    <w:rsid w:val="00D44C1B"/>
    <w:rsid w:val="00D44F3A"/>
    <w:rsid w:val="00D4512A"/>
    <w:rsid w:val="00D45237"/>
    <w:rsid w:val="00D454C6"/>
    <w:rsid w:val="00D461B0"/>
    <w:rsid w:val="00D4654B"/>
    <w:rsid w:val="00D466E4"/>
    <w:rsid w:val="00D46D23"/>
    <w:rsid w:val="00D4723D"/>
    <w:rsid w:val="00D473B7"/>
    <w:rsid w:val="00D47560"/>
    <w:rsid w:val="00D47BC5"/>
    <w:rsid w:val="00D47EAF"/>
    <w:rsid w:val="00D47FDE"/>
    <w:rsid w:val="00D501DA"/>
    <w:rsid w:val="00D50357"/>
    <w:rsid w:val="00D50BDE"/>
    <w:rsid w:val="00D50BE0"/>
    <w:rsid w:val="00D50CF5"/>
    <w:rsid w:val="00D512A7"/>
    <w:rsid w:val="00D51480"/>
    <w:rsid w:val="00D515C5"/>
    <w:rsid w:val="00D51729"/>
    <w:rsid w:val="00D51739"/>
    <w:rsid w:val="00D526AD"/>
    <w:rsid w:val="00D52FE9"/>
    <w:rsid w:val="00D530D0"/>
    <w:rsid w:val="00D5374E"/>
    <w:rsid w:val="00D54356"/>
    <w:rsid w:val="00D54A44"/>
    <w:rsid w:val="00D54B6A"/>
    <w:rsid w:val="00D54BD5"/>
    <w:rsid w:val="00D54E1E"/>
    <w:rsid w:val="00D55247"/>
    <w:rsid w:val="00D55469"/>
    <w:rsid w:val="00D55D6B"/>
    <w:rsid w:val="00D55EFB"/>
    <w:rsid w:val="00D56FE1"/>
    <w:rsid w:val="00D5735D"/>
    <w:rsid w:val="00D5743E"/>
    <w:rsid w:val="00D576DC"/>
    <w:rsid w:val="00D57D10"/>
    <w:rsid w:val="00D57DC3"/>
    <w:rsid w:val="00D60449"/>
    <w:rsid w:val="00D60732"/>
    <w:rsid w:val="00D60AC9"/>
    <w:rsid w:val="00D60DAE"/>
    <w:rsid w:val="00D6112D"/>
    <w:rsid w:val="00D61762"/>
    <w:rsid w:val="00D61B20"/>
    <w:rsid w:val="00D61B44"/>
    <w:rsid w:val="00D61C6C"/>
    <w:rsid w:val="00D61C71"/>
    <w:rsid w:val="00D6201D"/>
    <w:rsid w:val="00D62C86"/>
    <w:rsid w:val="00D62C9A"/>
    <w:rsid w:val="00D6318D"/>
    <w:rsid w:val="00D63224"/>
    <w:rsid w:val="00D63C1B"/>
    <w:rsid w:val="00D642B5"/>
    <w:rsid w:val="00D6432C"/>
    <w:rsid w:val="00D645D9"/>
    <w:rsid w:val="00D64992"/>
    <w:rsid w:val="00D64BD0"/>
    <w:rsid w:val="00D64E02"/>
    <w:rsid w:val="00D64F50"/>
    <w:rsid w:val="00D65655"/>
    <w:rsid w:val="00D65CA3"/>
    <w:rsid w:val="00D65FB3"/>
    <w:rsid w:val="00D660DC"/>
    <w:rsid w:val="00D66437"/>
    <w:rsid w:val="00D671B9"/>
    <w:rsid w:val="00D67B1C"/>
    <w:rsid w:val="00D67E13"/>
    <w:rsid w:val="00D7029C"/>
    <w:rsid w:val="00D70CE3"/>
    <w:rsid w:val="00D71066"/>
    <w:rsid w:val="00D71650"/>
    <w:rsid w:val="00D71D48"/>
    <w:rsid w:val="00D71ED4"/>
    <w:rsid w:val="00D72102"/>
    <w:rsid w:val="00D72525"/>
    <w:rsid w:val="00D72666"/>
    <w:rsid w:val="00D72956"/>
    <w:rsid w:val="00D729C3"/>
    <w:rsid w:val="00D7336E"/>
    <w:rsid w:val="00D737F1"/>
    <w:rsid w:val="00D738AC"/>
    <w:rsid w:val="00D74092"/>
    <w:rsid w:val="00D7427A"/>
    <w:rsid w:val="00D74833"/>
    <w:rsid w:val="00D7491E"/>
    <w:rsid w:val="00D7530F"/>
    <w:rsid w:val="00D7536C"/>
    <w:rsid w:val="00D753BA"/>
    <w:rsid w:val="00D75ED0"/>
    <w:rsid w:val="00D760B4"/>
    <w:rsid w:val="00D80030"/>
    <w:rsid w:val="00D80092"/>
    <w:rsid w:val="00D8025F"/>
    <w:rsid w:val="00D803F8"/>
    <w:rsid w:val="00D806E0"/>
    <w:rsid w:val="00D80F87"/>
    <w:rsid w:val="00D81320"/>
    <w:rsid w:val="00D81D37"/>
    <w:rsid w:val="00D820D5"/>
    <w:rsid w:val="00D825A2"/>
    <w:rsid w:val="00D8278E"/>
    <w:rsid w:val="00D83609"/>
    <w:rsid w:val="00D840EB"/>
    <w:rsid w:val="00D84210"/>
    <w:rsid w:val="00D84527"/>
    <w:rsid w:val="00D84E88"/>
    <w:rsid w:val="00D854DF"/>
    <w:rsid w:val="00D860C5"/>
    <w:rsid w:val="00D8679A"/>
    <w:rsid w:val="00D86A86"/>
    <w:rsid w:val="00D86DB6"/>
    <w:rsid w:val="00D873D7"/>
    <w:rsid w:val="00D8742B"/>
    <w:rsid w:val="00D87510"/>
    <w:rsid w:val="00D8753B"/>
    <w:rsid w:val="00D879D2"/>
    <w:rsid w:val="00D87C24"/>
    <w:rsid w:val="00D908E5"/>
    <w:rsid w:val="00D91050"/>
    <w:rsid w:val="00D91396"/>
    <w:rsid w:val="00D91680"/>
    <w:rsid w:val="00D917AB"/>
    <w:rsid w:val="00D91ABE"/>
    <w:rsid w:val="00D91D5F"/>
    <w:rsid w:val="00D91DE6"/>
    <w:rsid w:val="00D91ECF"/>
    <w:rsid w:val="00D9260A"/>
    <w:rsid w:val="00D92719"/>
    <w:rsid w:val="00D932F1"/>
    <w:rsid w:val="00D93394"/>
    <w:rsid w:val="00D9360E"/>
    <w:rsid w:val="00D93703"/>
    <w:rsid w:val="00D9378E"/>
    <w:rsid w:val="00D9427C"/>
    <w:rsid w:val="00D94C32"/>
    <w:rsid w:val="00D95262"/>
    <w:rsid w:val="00D95A59"/>
    <w:rsid w:val="00D9608B"/>
    <w:rsid w:val="00D964B4"/>
    <w:rsid w:val="00D9662C"/>
    <w:rsid w:val="00D96808"/>
    <w:rsid w:val="00D96926"/>
    <w:rsid w:val="00D9754A"/>
    <w:rsid w:val="00D977F3"/>
    <w:rsid w:val="00D978D2"/>
    <w:rsid w:val="00D9799D"/>
    <w:rsid w:val="00DA02BE"/>
    <w:rsid w:val="00DA0DDF"/>
    <w:rsid w:val="00DA1B00"/>
    <w:rsid w:val="00DA1E01"/>
    <w:rsid w:val="00DA223F"/>
    <w:rsid w:val="00DA2487"/>
    <w:rsid w:val="00DA291C"/>
    <w:rsid w:val="00DA2AB4"/>
    <w:rsid w:val="00DA3B23"/>
    <w:rsid w:val="00DA3B50"/>
    <w:rsid w:val="00DA3C3C"/>
    <w:rsid w:val="00DA3D46"/>
    <w:rsid w:val="00DA46EF"/>
    <w:rsid w:val="00DA490D"/>
    <w:rsid w:val="00DA4A52"/>
    <w:rsid w:val="00DA4C45"/>
    <w:rsid w:val="00DA4EAD"/>
    <w:rsid w:val="00DA548A"/>
    <w:rsid w:val="00DA5490"/>
    <w:rsid w:val="00DA54CA"/>
    <w:rsid w:val="00DA587A"/>
    <w:rsid w:val="00DA5DEA"/>
    <w:rsid w:val="00DA634A"/>
    <w:rsid w:val="00DA6447"/>
    <w:rsid w:val="00DA6CAC"/>
    <w:rsid w:val="00DA714C"/>
    <w:rsid w:val="00DA736E"/>
    <w:rsid w:val="00DA7810"/>
    <w:rsid w:val="00DA79A6"/>
    <w:rsid w:val="00DA79B0"/>
    <w:rsid w:val="00DA7B5A"/>
    <w:rsid w:val="00DB1307"/>
    <w:rsid w:val="00DB1594"/>
    <w:rsid w:val="00DB1612"/>
    <w:rsid w:val="00DB1795"/>
    <w:rsid w:val="00DB199B"/>
    <w:rsid w:val="00DB1E9C"/>
    <w:rsid w:val="00DB2160"/>
    <w:rsid w:val="00DB21CB"/>
    <w:rsid w:val="00DB2BE8"/>
    <w:rsid w:val="00DB307F"/>
    <w:rsid w:val="00DB317F"/>
    <w:rsid w:val="00DB3830"/>
    <w:rsid w:val="00DB3914"/>
    <w:rsid w:val="00DB3B38"/>
    <w:rsid w:val="00DB4719"/>
    <w:rsid w:val="00DB48F8"/>
    <w:rsid w:val="00DB53F5"/>
    <w:rsid w:val="00DB5880"/>
    <w:rsid w:val="00DB5CD6"/>
    <w:rsid w:val="00DB5D5A"/>
    <w:rsid w:val="00DB659C"/>
    <w:rsid w:val="00DB68C9"/>
    <w:rsid w:val="00DB6F52"/>
    <w:rsid w:val="00DB7018"/>
    <w:rsid w:val="00DB757A"/>
    <w:rsid w:val="00DC08B2"/>
    <w:rsid w:val="00DC0B7A"/>
    <w:rsid w:val="00DC0CAB"/>
    <w:rsid w:val="00DC0F3B"/>
    <w:rsid w:val="00DC1540"/>
    <w:rsid w:val="00DC1DF1"/>
    <w:rsid w:val="00DC1E4E"/>
    <w:rsid w:val="00DC2DC4"/>
    <w:rsid w:val="00DC3944"/>
    <w:rsid w:val="00DC3AFC"/>
    <w:rsid w:val="00DC3B8F"/>
    <w:rsid w:val="00DC3CD8"/>
    <w:rsid w:val="00DC4069"/>
    <w:rsid w:val="00DC46F8"/>
    <w:rsid w:val="00DC48D8"/>
    <w:rsid w:val="00DC4988"/>
    <w:rsid w:val="00DC5BB2"/>
    <w:rsid w:val="00DC5DA8"/>
    <w:rsid w:val="00DC5DC4"/>
    <w:rsid w:val="00DC6546"/>
    <w:rsid w:val="00DC6CFE"/>
    <w:rsid w:val="00DC6DA1"/>
    <w:rsid w:val="00DC7405"/>
    <w:rsid w:val="00DC7450"/>
    <w:rsid w:val="00DC77DA"/>
    <w:rsid w:val="00DC7A7E"/>
    <w:rsid w:val="00DD04B9"/>
    <w:rsid w:val="00DD0B02"/>
    <w:rsid w:val="00DD0BA2"/>
    <w:rsid w:val="00DD0F74"/>
    <w:rsid w:val="00DD115B"/>
    <w:rsid w:val="00DD2DA2"/>
    <w:rsid w:val="00DD31B0"/>
    <w:rsid w:val="00DD32E3"/>
    <w:rsid w:val="00DD38F8"/>
    <w:rsid w:val="00DD3ACF"/>
    <w:rsid w:val="00DD3D9F"/>
    <w:rsid w:val="00DD3F5E"/>
    <w:rsid w:val="00DD48A6"/>
    <w:rsid w:val="00DD4D52"/>
    <w:rsid w:val="00DD535A"/>
    <w:rsid w:val="00DD544E"/>
    <w:rsid w:val="00DD5522"/>
    <w:rsid w:val="00DD58D6"/>
    <w:rsid w:val="00DD5E23"/>
    <w:rsid w:val="00DD68DE"/>
    <w:rsid w:val="00DD6C40"/>
    <w:rsid w:val="00DD6E15"/>
    <w:rsid w:val="00DD7388"/>
    <w:rsid w:val="00DD79D4"/>
    <w:rsid w:val="00DE0247"/>
    <w:rsid w:val="00DE0670"/>
    <w:rsid w:val="00DE07AD"/>
    <w:rsid w:val="00DE0E45"/>
    <w:rsid w:val="00DE1D3C"/>
    <w:rsid w:val="00DE2688"/>
    <w:rsid w:val="00DE2A44"/>
    <w:rsid w:val="00DE314F"/>
    <w:rsid w:val="00DE327A"/>
    <w:rsid w:val="00DE35F3"/>
    <w:rsid w:val="00DE3860"/>
    <w:rsid w:val="00DE3B52"/>
    <w:rsid w:val="00DE4067"/>
    <w:rsid w:val="00DE4AD7"/>
    <w:rsid w:val="00DE5B66"/>
    <w:rsid w:val="00DE5B85"/>
    <w:rsid w:val="00DE618B"/>
    <w:rsid w:val="00DE6701"/>
    <w:rsid w:val="00DE6750"/>
    <w:rsid w:val="00DE67C4"/>
    <w:rsid w:val="00DE6880"/>
    <w:rsid w:val="00DE6B70"/>
    <w:rsid w:val="00DE7027"/>
    <w:rsid w:val="00DE7262"/>
    <w:rsid w:val="00DE79A6"/>
    <w:rsid w:val="00DE7A54"/>
    <w:rsid w:val="00DF014A"/>
    <w:rsid w:val="00DF0E79"/>
    <w:rsid w:val="00DF157B"/>
    <w:rsid w:val="00DF1AA6"/>
    <w:rsid w:val="00DF2A4B"/>
    <w:rsid w:val="00DF2EA6"/>
    <w:rsid w:val="00DF379B"/>
    <w:rsid w:val="00DF47B4"/>
    <w:rsid w:val="00DF55CC"/>
    <w:rsid w:val="00DF5607"/>
    <w:rsid w:val="00DF5E61"/>
    <w:rsid w:val="00DF5EB6"/>
    <w:rsid w:val="00DF6300"/>
    <w:rsid w:val="00DF652D"/>
    <w:rsid w:val="00DF690F"/>
    <w:rsid w:val="00DF6F65"/>
    <w:rsid w:val="00DF6FCC"/>
    <w:rsid w:val="00DF70F1"/>
    <w:rsid w:val="00DF788C"/>
    <w:rsid w:val="00E004A0"/>
    <w:rsid w:val="00E005C1"/>
    <w:rsid w:val="00E00601"/>
    <w:rsid w:val="00E00AB9"/>
    <w:rsid w:val="00E00B4B"/>
    <w:rsid w:val="00E00F7C"/>
    <w:rsid w:val="00E01477"/>
    <w:rsid w:val="00E01974"/>
    <w:rsid w:val="00E01B19"/>
    <w:rsid w:val="00E01DD5"/>
    <w:rsid w:val="00E01E6C"/>
    <w:rsid w:val="00E0218F"/>
    <w:rsid w:val="00E022F9"/>
    <w:rsid w:val="00E02544"/>
    <w:rsid w:val="00E027CE"/>
    <w:rsid w:val="00E02D82"/>
    <w:rsid w:val="00E034BF"/>
    <w:rsid w:val="00E03783"/>
    <w:rsid w:val="00E0409C"/>
    <w:rsid w:val="00E04284"/>
    <w:rsid w:val="00E04773"/>
    <w:rsid w:val="00E04AC1"/>
    <w:rsid w:val="00E04F85"/>
    <w:rsid w:val="00E05437"/>
    <w:rsid w:val="00E05FC4"/>
    <w:rsid w:val="00E0653B"/>
    <w:rsid w:val="00E0698E"/>
    <w:rsid w:val="00E06C00"/>
    <w:rsid w:val="00E07484"/>
    <w:rsid w:val="00E074FE"/>
    <w:rsid w:val="00E07E37"/>
    <w:rsid w:val="00E07FE7"/>
    <w:rsid w:val="00E10199"/>
    <w:rsid w:val="00E1042D"/>
    <w:rsid w:val="00E10A0B"/>
    <w:rsid w:val="00E10CA5"/>
    <w:rsid w:val="00E116C8"/>
    <w:rsid w:val="00E11911"/>
    <w:rsid w:val="00E11EE9"/>
    <w:rsid w:val="00E1275E"/>
    <w:rsid w:val="00E12B2C"/>
    <w:rsid w:val="00E13A3C"/>
    <w:rsid w:val="00E13AB0"/>
    <w:rsid w:val="00E13CE6"/>
    <w:rsid w:val="00E1431F"/>
    <w:rsid w:val="00E149EC"/>
    <w:rsid w:val="00E15774"/>
    <w:rsid w:val="00E15AAA"/>
    <w:rsid w:val="00E15F1E"/>
    <w:rsid w:val="00E15F7F"/>
    <w:rsid w:val="00E16296"/>
    <w:rsid w:val="00E1651B"/>
    <w:rsid w:val="00E16D3A"/>
    <w:rsid w:val="00E17D35"/>
    <w:rsid w:val="00E17E0F"/>
    <w:rsid w:val="00E17EEC"/>
    <w:rsid w:val="00E17F89"/>
    <w:rsid w:val="00E2065E"/>
    <w:rsid w:val="00E207FF"/>
    <w:rsid w:val="00E20FF4"/>
    <w:rsid w:val="00E213B5"/>
    <w:rsid w:val="00E21B0C"/>
    <w:rsid w:val="00E21D7A"/>
    <w:rsid w:val="00E224DC"/>
    <w:rsid w:val="00E22922"/>
    <w:rsid w:val="00E229C4"/>
    <w:rsid w:val="00E23802"/>
    <w:rsid w:val="00E23842"/>
    <w:rsid w:val="00E23925"/>
    <w:rsid w:val="00E23F2A"/>
    <w:rsid w:val="00E24354"/>
    <w:rsid w:val="00E24801"/>
    <w:rsid w:val="00E24C0A"/>
    <w:rsid w:val="00E24FF8"/>
    <w:rsid w:val="00E251A6"/>
    <w:rsid w:val="00E2526D"/>
    <w:rsid w:val="00E2549A"/>
    <w:rsid w:val="00E2549C"/>
    <w:rsid w:val="00E256EC"/>
    <w:rsid w:val="00E2595B"/>
    <w:rsid w:val="00E25B23"/>
    <w:rsid w:val="00E26615"/>
    <w:rsid w:val="00E26816"/>
    <w:rsid w:val="00E27455"/>
    <w:rsid w:val="00E27998"/>
    <w:rsid w:val="00E27AF1"/>
    <w:rsid w:val="00E30713"/>
    <w:rsid w:val="00E30862"/>
    <w:rsid w:val="00E30C8D"/>
    <w:rsid w:val="00E30EAA"/>
    <w:rsid w:val="00E3114E"/>
    <w:rsid w:val="00E31268"/>
    <w:rsid w:val="00E31C70"/>
    <w:rsid w:val="00E32203"/>
    <w:rsid w:val="00E32330"/>
    <w:rsid w:val="00E33BA3"/>
    <w:rsid w:val="00E33D7B"/>
    <w:rsid w:val="00E33D99"/>
    <w:rsid w:val="00E33E05"/>
    <w:rsid w:val="00E3427C"/>
    <w:rsid w:val="00E346F1"/>
    <w:rsid w:val="00E34E5F"/>
    <w:rsid w:val="00E35083"/>
    <w:rsid w:val="00E350C2"/>
    <w:rsid w:val="00E35145"/>
    <w:rsid w:val="00E3545C"/>
    <w:rsid w:val="00E35800"/>
    <w:rsid w:val="00E359A9"/>
    <w:rsid w:val="00E35E3E"/>
    <w:rsid w:val="00E369F8"/>
    <w:rsid w:val="00E369FB"/>
    <w:rsid w:val="00E372A1"/>
    <w:rsid w:val="00E374A9"/>
    <w:rsid w:val="00E40098"/>
    <w:rsid w:val="00E401B9"/>
    <w:rsid w:val="00E4045C"/>
    <w:rsid w:val="00E40FA4"/>
    <w:rsid w:val="00E41D46"/>
    <w:rsid w:val="00E41E4C"/>
    <w:rsid w:val="00E42052"/>
    <w:rsid w:val="00E425D8"/>
    <w:rsid w:val="00E42820"/>
    <w:rsid w:val="00E42A4D"/>
    <w:rsid w:val="00E43462"/>
    <w:rsid w:val="00E43805"/>
    <w:rsid w:val="00E43AFD"/>
    <w:rsid w:val="00E44555"/>
    <w:rsid w:val="00E44C7D"/>
    <w:rsid w:val="00E45437"/>
    <w:rsid w:val="00E4596F"/>
    <w:rsid w:val="00E46DB0"/>
    <w:rsid w:val="00E4715A"/>
    <w:rsid w:val="00E47213"/>
    <w:rsid w:val="00E4779F"/>
    <w:rsid w:val="00E477AC"/>
    <w:rsid w:val="00E47A82"/>
    <w:rsid w:val="00E500A8"/>
    <w:rsid w:val="00E5068F"/>
    <w:rsid w:val="00E5124F"/>
    <w:rsid w:val="00E5144E"/>
    <w:rsid w:val="00E52167"/>
    <w:rsid w:val="00E52C09"/>
    <w:rsid w:val="00E52D47"/>
    <w:rsid w:val="00E53361"/>
    <w:rsid w:val="00E533EB"/>
    <w:rsid w:val="00E536CE"/>
    <w:rsid w:val="00E538B2"/>
    <w:rsid w:val="00E53C04"/>
    <w:rsid w:val="00E53CDF"/>
    <w:rsid w:val="00E54203"/>
    <w:rsid w:val="00E5446E"/>
    <w:rsid w:val="00E54A62"/>
    <w:rsid w:val="00E54A8A"/>
    <w:rsid w:val="00E54B10"/>
    <w:rsid w:val="00E54CF9"/>
    <w:rsid w:val="00E55073"/>
    <w:rsid w:val="00E551AA"/>
    <w:rsid w:val="00E5538B"/>
    <w:rsid w:val="00E558FD"/>
    <w:rsid w:val="00E55964"/>
    <w:rsid w:val="00E55997"/>
    <w:rsid w:val="00E55B05"/>
    <w:rsid w:val="00E55EE6"/>
    <w:rsid w:val="00E56006"/>
    <w:rsid w:val="00E5711E"/>
    <w:rsid w:val="00E572A6"/>
    <w:rsid w:val="00E5783C"/>
    <w:rsid w:val="00E60874"/>
    <w:rsid w:val="00E60EEC"/>
    <w:rsid w:val="00E60F76"/>
    <w:rsid w:val="00E61FD9"/>
    <w:rsid w:val="00E62333"/>
    <w:rsid w:val="00E62D34"/>
    <w:rsid w:val="00E6373E"/>
    <w:rsid w:val="00E63821"/>
    <w:rsid w:val="00E63A65"/>
    <w:rsid w:val="00E63B6C"/>
    <w:rsid w:val="00E640D1"/>
    <w:rsid w:val="00E64A49"/>
    <w:rsid w:val="00E64B2A"/>
    <w:rsid w:val="00E65085"/>
    <w:rsid w:val="00E65340"/>
    <w:rsid w:val="00E666DC"/>
    <w:rsid w:val="00E66845"/>
    <w:rsid w:val="00E66DBB"/>
    <w:rsid w:val="00E67250"/>
    <w:rsid w:val="00E67545"/>
    <w:rsid w:val="00E67F80"/>
    <w:rsid w:val="00E705DA"/>
    <w:rsid w:val="00E705E3"/>
    <w:rsid w:val="00E709FE"/>
    <w:rsid w:val="00E71068"/>
    <w:rsid w:val="00E71223"/>
    <w:rsid w:val="00E71C56"/>
    <w:rsid w:val="00E72140"/>
    <w:rsid w:val="00E72673"/>
    <w:rsid w:val="00E729E2"/>
    <w:rsid w:val="00E730B5"/>
    <w:rsid w:val="00E7375F"/>
    <w:rsid w:val="00E73848"/>
    <w:rsid w:val="00E7405D"/>
    <w:rsid w:val="00E74313"/>
    <w:rsid w:val="00E745F2"/>
    <w:rsid w:val="00E74E5A"/>
    <w:rsid w:val="00E74FA7"/>
    <w:rsid w:val="00E75523"/>
    <w:rsid w:val="00E75E54"/>
    <w:rsid w:val="00E76227"/>
    <w:rsid w:val="00E762A4"/>
    <w:rsid w:val="00E764DB"/>
    <w:rsid w:val="00E76A1A"/>
    <w:rsid w:val="00E76AA2"/>
    <w:rsid w:val="00E76DC8"/>
    <w:rsid w:val="00E76DE2"/>
    <w:rsid w:val="00E776E4"/>
    <w:rsid w:val="00E77A4B"/>
    <w:rsid w:val="00E77BCC"/>
    <w:rsid w:val="00E803DE"/>
    <w:rsid w:val="00E806E9"/>
    <w:rsid w:val="00E8086D"/>
    <w:rsid w:val="00E809BE"/>
    <w:rsid w:val="00E809CF"/>
    <w:rsid w:val="00E809F4"/>
    <w:rsid w:val="00E80C0C"/>
    <w:rsid w:val="00E811BF"/>
    <w:rsid w:val="00E81682"/>
    <w:rsid w:val="00E81745"/>
    <w:rsid w:val="00E819D8"/>
    <w:rsid w:val="00E8299E"/>
    <w:rsid w:val="00E82C2D"/>
    <w:rsid w:val="00E82E41"/>
    <w:rsid w:val="00E82E44"/>
    <w:rsid w:val="00E8326F"/>
    <w:rsid w:val="00E84007"/>
    <w:rsid w:val="00E8425F"/>
    <w:rsid w:val="00E84537"/>
    <w:rsid w:val="00E847A8"/>
    <w:rsid w:val="00E8487C"/>
    <w:rsid w:val="00E84A5C"/>
    <w:rsid w:val="00E84BAB"/>
    <w:rsid w:val="00E84DB0"/>
    <w:rsid w:val="00E84E00"/>
    <w:rsid w:val="00E85BD7"/>
    <w:rsid w:val="00E86256"/>
    <w:rsid w:val="00E867BB"/>
    <w:rsid w:val="00E8690A"/>
    <w:rsid w:val="00E86BE1"/>
    <w:rsid w:val="00E86EA6"/>
    <w:rsid w:val="00E86EDA"/>
    <w:rsid w:val="00E86FAB"/>
    <w:rsid w:val="00E872AB"/>
    <w:rsid w:val="00E87707"/>
    <w:rsid w:val="00E87942"/>
    <w:rsid w:val="00E87948"/>
    <w:rsid w:val="00E87D85"/>
    <w:rsid w:val="00E87E15"/>
    <w:rsid w:val="00E87E80"/>
    <w:rsid w:val="00E87EE3"/>
    <w:rsid w:val="00E87FF9"/>
    <w:rsid w:val="00E905E4"/>
    <w:rsid w:val="00E90B3F"/>
    <w:rsid w:val="00E90C34"/>
    <w:rsid w:val="00E90DA5"/>
    <w:rsid w:val="00E90E6C"/>
    <w:rsid w:val="00E91240"/>
    <w:rsid w:val="00E91770"/>
    <w:rsid w:val="00E91E88"/>
    <w:rsid w:val="00E91EAA"/>
    <w:rsid w:val="00E920D4"/>
    <w:rsid w:val="00E9218A"/>
    <w:rsid w:val="00E928B5"/>
    <w:rsid w:val="00E92B55"/>
    <w:rsid w:val="00E92C75"/>
    <w:rsid w:val="00E932CD"/>
    <w:rsid w:val="00E93417"/>
    <w:rsid w:val="00E935FE"/>
    <w:rsid w:val="00E93724"/>
    <w:rsid w:val="00E93FD9"/>
    <w:rsid w:val="00E93FFF"/>
    <w:rsid w:val="00E9403F"/>
    <w:rsid w:val="00E9434F"/>
    <w:rsid w:val="00E943F9"/>
    <w:rsid w:val="00E94449"/>
    <w:rsid w:val="00E94709"/>
    <w:rsid w:val="00E94D13"/>
    <w:rsid w:val="00E94E3D"/>
    <w:rsid w:val="00E95892"/>
    <w:rsid w:val="00E95967"/>
    <w:rsid w:val="00E9636E"/>
    <w:rsid w:val="00E96976"/>
    <w:rsid w:val="00E969D7"/>
    <w:rsid w:val="00E96BCA"/>
    <w:rsid w:val="00E96CA5"/>
    <w:rsid w:val="00E973A1"/>
    <w:rsid w:val="00E9747E"/>
    <w:rsid w:val="00E974CB"/>
    <w:rsid w:val="00E979A4"/>
    <w:rsid w:val="00E97B85"/>
    <w:rsid w:val="00EA1431"/>
    <w:rsid w:val="00EA1539"/>
    <w:rsid w:val="00EA18DB"/>
    <w:rsid w:val="00EA1B16"/>
    <w:rsid w:val="00EA243F"/>
    <w:rsid w:val="00EA2A91"/>
    <w:rsid w:val="00EA2CA6"/>
    <w:rsid w:val="00EA2CEC"/>
    <w:rsid w:val="00EA2D87"/>
    <w:rsid w:val="00EA2D93"/>
    <w:rsid w:val="00EA3016"/>
    <w:rsid w:val="00EA3246"/>
    <w:rsid w:val="00EA340D"/>
    <w:rsid w:val="00EA3AA4"/>
    <w:rsid w:val="00EA3BBC"/>
    <w:rsid w:val="00EA40AE"/>
    <w:rsid w:val="00EA4B59"/>
    <w:rsid w:val="00EA50B5"/>
    <w:rsid w:val="00EA5BBB"/>
    <w:rsid w:val="00EA6097"/>
    <w:rsid w:val="00EA630C"/>
    <w:rsid w:val="00EA690D"/>
    <w:rsid w:val="00EA6945"/>
    <w:rsid w:val="00EA6A8D"/>
    <w:rsid w:val="00EA7558"/>
    <w:rsid w:val="00EA7EF8"/>
    <w:rsid w:val="00EB0710"/>
    <w:rsid w:val="00EB09C7"/>
    <w:rsid w:val="00EB09EE"/>
    <w:rsid w:val="00EB0B16"/>
    <w:rsid w:val="00EB0CF2"/>
    <w:rsid w:val="00EB0E8E"/>
    <w:rsid w:val="00EB19E3"/>
    <w:rsid w:val="00EB219D"/>
    <w:rsid w:val="00EB2231"/>
    <w:rsid w:val="00EB2266"/>
    <w:rsid w:val="00EB2535"/>
    <w:rsid w:val="00EB2714"/>
    <w:rsid w:val="00EB2741"/>
    <w:rsid w:val="00EB28A9"/>
    <w:rsid w:val="00EB2BF8"/>
    <w:rsid w:val="00EB2C2D"/>
    <w:rsid w:val="00EB2F9C"/>
    <w:rsid w:val="00EB3368"/>
    <w:rsid w:val="00EB359A"/>
    <w:rsid w:val="00EB3687"/>
    <w:rsid w:val="00EB39B7"/>
    <w:rsid w:val="00EB3B21"/>
    <w:rsid w:val="00EB3E20"/>
    <w:rsid w:val="00EB4801"/>
    <w:rsid w:val="00EB4929"/>
    <w:rsid w:val="00EB53B1"/>
    <w:rsid w:val="00EB5DA2"/>
    <w:rsid w:val="00EB620C"/>
    <w:rsid w:val="00EB686A"/>
    <w:rsid w:val="00EB6A58"/>
    <w:rsid w:val="00EB6B13"/>
    <w:rsid w:val="00EB6D41"/>
    <w:rsid w:val="00EB786C"/>
    <w:rsid w:val="00EC004E"/>
    <w:rsid w:val="00EC0484"/>
    <w:rsid w:val="00EC090E"/>
    <w:rsid w:val="00EC3283"/>
    <w:rsid w:val="00EC3292"/>
    <w:rsid w:val="00EC35E1"/>
    <w:rsid w:val="00EC4239"/>
    <w:rsid w:val="00EC428F"/>
    <w:rsid w:val="00EC463C"/>
    <w:rsid w:val="00EC4DEC"/>
    <w:rsid w:val="00EC4EE0"/>
    <w:rsid w:val="00EC52E4"/>
    <w:rsid w:val="00EC5845"/>
    <w:rsid w:val="00EC5D77"/>
    <w:rsid w:val="00EC5E0A"/>
    <w:rsid w:val="00EC71C6"/>
    <w:rsid w:val="00EC7248"/>
    <w:rsid w:val="00EC7B35"/>
    <w:rsid w:val="00EC7D2E"/>
    <w:rsid w:val="00ED0286"/>
    <w:rsid w:val="00ED0316"/>
    <w:rsid w:val="00ED0EA8"/>
    <w:rsid w:val="00ED0EC5"/>
    <w:rsid w:val="00ED15F9"/>
    <w:rsid w:val="00ED175D"/>
    <w:rsid w:val="00ED1918"/>
    <w:rsid w:val="00ED1FB2"/>
    <w:rsid w:val="00ED20A1"/>
    <w:rsid w:val="00ED2766"/>
    <w:rsid w:val="00ED2F59"/>
    <w:rsid w:val="00ED4006"/>
    <w:rsid w:val="00ED4A41"/>
    <w:rsid w:val="00ED510A"/>
    <w:rsid w:val="00ED5295"/>
    <w:rsid w:val="00ED5438"/>
    <w:rsid w:val="00ED5967"/>
    <w:rsid w:val="00ED5BE8"/>
    <w:rsid w:val="00ED5C53"/>
    <w:rsid w:val="00ED64C8"/>
    <w:rsid w:val="00ED651C"/>
    <w:rsid w:val="00ED6B0E"/>
    <w:rsid w:val="00ED6BFA"/>
    <w:rsid w:val="00ED6C3A"/>
    <w:rsid w:val="00ED7591"/>
    <w:rsid w:val="00EE05C3"/>
    <w:rsid w:val="00EE0E78"/>
    <w:rsid w:val="00EE0EF5"/>
    <w:rsid w:val="00EE1183"/>
    <w:rsid w:val="00EE1231"/>
    <w:rsid w:val="00EE14DC"/>
    <w:rsid w:val="00EE19B6"/>
    <w:rsid w:val="00EE19D3"/>
    <w:rsid w:val="00EE1A1D"/>
    <w:rsid w:val="00EE1CDC"/>
    <w:rsid w:val="00EE2195"/>
    <w:rsid w:val="00EE238E"/>
    <w:rsid w:val="00EE23C5"/>
    <w:rsid w:val="00EE26A8"/>
    <w:rsid w:val="00EE2B15"/>
    <w:rsid w:val="00EE2C97"/>
    <w:rsid w:val="00EE31B9"/>
    <w:rsid w:val="00EE3474"/>
    <w:rsid w:val="00EE3783"/>
    <w:rsid w:val="00EE3A36"/>
    <w:rsid w:val="00EE409C"/>
    <w:rsid w:val="00EE4B4A"/>
    <w:rsid w:val="00EE54FC"/>
    <w:rsid w:val="00EE5E0E"/>
    <w:rsid w:val="00EE6102"/>
    <w:rsid w:val="00EE6BE1"/>
    <w:rsid w:val="00EE6FAB"/>
    <w:rsid w:val="00EE70CC"/>
    <w:rsid w:val="00EE7AE5"/>
    <w:rsid w:val="00EE7AE6"/>
    <w:rsid w:val="00EE7FF5"/>
    <w:rsid w:val="00EF01FD"/>
    <w:rsid w:val="00EF0476"/>
    <w:rsid w:val="00EF0492"/>
    <w:rsid w:val="00EF05D8"/>
    <w:rsid w:val="00EF0850"/>
    <w:rsid w:val="00EF10D9"/>
    <w:rsid w:val="00EF1752"/>
    <w:rsid w:val="00EF1814"/>
    <w:rsid w:val="00EF1DEA"/>
    <w:rsid w:val="00EF2058"/>
    <w:rsid w:val="00EF2072"/>
    <w:rsid w:val="00EF2300"/>
    <w:rsid w:val="00EF2B6D"/>
    <w:rsid w:val="00EF3171"/>
    <w:rsid w:val="00EF344A"/>
    <w:rsid w:val="00EF3453"/>
    <w:rsid w:val="00EF4BF8"/>
    <w:rsid w:val="00EF4CAB"/>
    <w:rsid w:val="00EF5236"/>
    <w:rsid w:val="00EF56F7"/>
    <w:rsid w:val="00EF5BD0"/>
    <w:rsid w:val="00EF69A3"/>
    <w:rsid w:val="00EF6B8F"/>
    <w:rsid w:val="00EF7385"/>
    <w:rsid w:val="00EF73F4"/>
    <w:rsid w:val="00EF7C0F"/>
    <w:rsid w:val="00EF7D51"/>
    <w:rsid w:val="00EF7DD4"/>
    <w:rsid w:val="00EF7FC6"/>
    <w:rsid w:val="00EF7FD8"/>
    <w:rsid w:val="00F00002"/>
    <w:rsid w:val="00F000C9"/>
    <w:rsid w:val="00F003A7"/>
    <w:rsid w:val="00F012B2"/>
    <w:rsid w:val="00F01D0E"/>
    <w:rsid w:val="00F01FC8"/>
    <w:rsid w:val="00F0218D"/>
    <w:rsid w:val="00F02323"/>
    <w:rsid w:val="00F02377"/>
    <w:rsid w:val="00F026A3"/>
    <w:rsid w:val="00F0346E"/>
    <w:rsid w:val="00F03E5F"/>
    <w:rsid w:val="00F03F46"/>
    <w:rsid w:val="00F0405D"/>
    <w:rsid w:val="00F04821"/>
    <w:rsid w:val="00F0669D"/>
    <w:rsid w:val="00F06EA6"/>
    <w:rsid w:val="00F0727E"/>
    <w:rsid w:val="00F07B37"/>
    <w:rsid w:val="00F07D1D"/>
    <w:rsid w:val="00F07F8C"/>
    <w:rsid w:val="00F1043C"/>
    <w:rsid w:val="00F1057E"/>
    <w:rsid w:val="00F10B6B"/>
    <w:rsid w:val="00F10C59"/>
    <w:rsid w:val="00F10D1B"/>
    <w:rsid w:val="00F10F0D"/>
    <w:rsid w:val="00F10FAE"/>
    <w:rsid w:val="00F11CA3"/>
    <w:rsid w:val="00F11CAB"/>
    <w:rsid w:val="00F12181"/>
    <w:rsid w:val="00F12B9D"/>
    <w:rsid w:val="00F139DA"/>
    <w:rsid w:val="00F13F91"/>
    <w:rsid w:val="00F14253"/>
    <w:rsid w:val="00F14479"/>
    <w:rsid w:val="00F144F3"/>
    <w:rsid w:val="00F148CC"/>
    <w:rsid w:val="00F14A56"/>
    <w:rsid w:val="00F14C93"/>
    <w:rsid w:val="00F14F44"/>
    <w:rsid w:val="00F15232"/>
    <w:rsid w:val="00F15861"/>
    <w:rsid w:val="00F15F23"/>
    <w:rsid w:val="00F16569"/>
    <w:rsid w:val="00F16DE3"/>
    <w:rsid w:val="00F1799D"/>
    <w:rsid w:val="00F17CB5"/>
    <w:rsid w:val="00F20078"/>
    <w:rsid w:val="00F202CE"/>
    <w:rsid w:val="00F207E5"/>
    <w:rsid w:val="00F20AC6"/>
    <w:rsid w:val="00F22484"/>
    <w:rsid w:val="00F22C03"/>
    <w:rsid w:val="00F23A20"/>
    <w:rsid w:val="00F23AED"/>
    <w:rsid w:val="00F23F92"/>
    <w:rsid w:val="00F24277"/>
    <w:rsid w:val="00F2445B"/>
    <w:rsid w:val="00F2474E"/>
    <w:rsid w:val="00F24A05"/>
    <w:rsid w:val="00F24AA7"/>
    <w:rsid w:val="00F25016"/>
    <w:rsid w:val="00F2518B"/>
    <w:rsid w:val="00F25220"/>
    <w:rsid w:val="00F2563D"/>
    <w:rsid w:val="00F25C6D"/>
    <w:rsid w:val="00F26024"/>
    <w:rsid w:val="00F26542"/>
    <w:rsid w:val="00F265A8"/>
    <w:rsid w:val="00F26B0E"/>
    <w:rsid w:val="00F26B6F"/>
    <w:rsid w:val="00F26BC7"/>
    <w:rsid w:val="00F27370"/>
    <w:rsid w:val="00F27790"/>
    <w:rsid w:val="00F2781C"/>
    <w:rsid w:val="00F278D6"/>
    <w:rsid w:val="00F278F7"/>
    <w:rsid w:val="00F27968"/>
    <w:rsid w:val="00F3005E"/>
    <w:rsid w:val="00F30421"/>
    <w:rsid w:val="00F306A4"/>
    <w:rsid w:val="00F30A3D"/>
    <w:rsid w:val="00F30C8F"/>
    <w:rsid w:val="00F30CD5"/>
    <w:rsid w:val="00F30F14"/>
    <w:rsid w:val="00F31447"/>
    <w:rsid w:val="00F317CB"/>
    <w:rsid w:val="00F32086"/>
    <w:rsid w:val="00F321F5"/>
    <w:rsid w:val="00F32A72"/>
    <w:rsid w:val="00F32A86"/>
    <w:rsid w:val="00F32F63"/>
    <w:rsid w:val="00F332D2"/>
    <w:rsid w:val="00F34269"/>
    <w:rsid w:val="00F34280"/>
    <w:rsid w:val="00F34939"/>
    <w:rsid w:val="00F34D38"/>
    <w:rsid w:val="00F35631"/>
    <w:rsid w:val="00F3577F"/>
    <w:rsid w:val="00F35868"/>
    <w:rsid w:val="00F35CFF"/>
    <w:rsid w:val="00F35E05"/>
    <w:rsid w:val="00F36AB7"/>
    <w:rsid w:val="00F36D76"/>
    <w:rsid w:val="00F370EE"/>
    <w:rsid w:val="00F37207"/>
    <w:rsid w:val="00F37384"/>
    <w:rsid w:val="00F379A5"/>
    <w:rsid w:val="00F37C32"/>
    <w:rsid w:val="00F37DCC"/>
    <w:rsid w:val="00F4008E"/>
    <w:rsid w:val="00F40A65"/>
    <w:rsid w:val="00F40C29"/>
    <w:rsid w:val="00F41150"/>
    <w:rsid w:val="00F417E9"/>
    <w:rsid w:val="00F4205F"/>
    <w:rsid w:val="00F428B3"/>
    <w:rsid w:val="00F42A2C"/>
    <w:rsid w:val="00F42B3B"/>
    <w:rsid w:val="00F42B64"/>
    <w:rsid w:val="00F42C5E"/>
    <w:rsid w:val="00F42D69"/>
    <w:rsid w:val="00F43040"/>
    <w:rsid w:val="00F43D96"/>
    <w:rsid w:val="00F445BC"/>
    <w:rsid w:val="00F44B85"/>
    <w:rsid w:val="00F44F8C"/>
    <w:rsid w:val="00F459F7"/>
    <w:rsid w:val="00F45D77"/>
    <w:rsid w:val="00F46910"/>
    <w:rsid w:val="00F477F4"/>
    <w:rsid w:val="00F506BF"/>
    <w:rsid w:val="00F508A8"/>
    <w:rsid w:val="00F50A37"/>
    <w:rsid w:val="00F50B6C"/>
    <w:rsid w:val="00F50EAB"/>
    <w:rsid w:val="00F513A4"/>
    <w:rsid w:val="00F51821"/>
    <w:rsid w:val="00F51CF8"/>
    <w:rsid w:val="00F52254"/>
    <w:rsid w:val="00F526BF"/>
    <w:rsid w:val="00F527D9"/>
    <w:rsid w:val="00F52AC8"/>
    <w:rsid w:val="00F52C7B"/>
    <w:rsid w:val="00F52CB4"/>
    <w:rsid w:val="00F53055"/>
    <w:rsid w:val="00F53348"/>
    <w:rsid w:val="00F53802"/>
    <w:rsid w:val="00F53B54"/>
    <w:rsid w:val="00F53E5A"/>
    <w:rsid w:val="00F53ECF"/>
    <w:rsid w:val="00F54488"/>
    <w:rsid w:val="00F54576"/>
    <w:rsid w:val="00F54C0F"/>
    <w:rsid w:val="00F54F3D"/>
    <w:rsid w:val="00F5508C"/>
    <w:rsid w:val="00F55139"/>
    <w:rsid w:val="00F552B7"/>
    <w:rsid w:val="00F55724"/>
    <w:rsid w:val="00F55737"/>
    <w:rsid w:val="00F55AD8"/>
    <w:rsid w:val="00F55CC5"/>
    <w:rsid w:val="00F55CF5"/>
    <w:rsid w:val="00F55E55"/>
    <w:rsid w:val="00F56505"/>
    <w:rsid w:val="00F56D1C"/>
    <w:rsid w:val="00F5720A"/>
    <w:rsid w:val="00F57815"/>
    <w:rsid w:val="00F57827"/>
    <w:rsid w:val="00F57D2C"/>
    <w:rsid w:val="00F57F34"/>
    <w:rsid w:val="00F6036C"/>
    <w:rsid w:val="00F604C2"/>
    <w:rsid w:val="00F60B2D"/>
    <w:rsid w:val="00F60FBF"/>
    <w:rsid w:val="00F61061"/>
    <w:rsid w:val="00F6128F"/>
    <w:rsid w:val="00F6221B"/>
    <w:rsid w:val="00F6263C"/>
    <w:rsid w:val="00F62E60"/>
    <w:rsid w:val="00F632DE"/>
    <w:rsid w:val="00F63A30"/>
    <w:rsid w:val="00F64727"/>
    <w:rsid w:val="00F64C19"/>
    <w:rsid w:val="00F65146"/>
    <w:rsid w:val="00F65534"/>
    <w:rsid w:val="00F6597D"/>
    <w:rsid w:val="00F66C3A"/>
    <w:rsid w:val="00F66D38"/>
    <w:rsid w:val="00F66DBB"/>
    <w:rsid w:val="00F67053"/>
    <w:rsid w:val="00F67923"/>
    <w:rsid w:val="00F67D61"/>
    <w:rsid w:val="00F705FE"/>
    <w:rsid w:val="00F70830"/>
    <w:rsid w:val="00F70974"/>
    <w:rsid w:val="00F70A97"/>
    <w:rsid w:val="00F70B51"/>
    <w:rsid w:val="00F70EE2"/>
    <w:rsid w:val="00F70F30"/>
    <w:rsid w:val="00F71C96"/>
    <w:rsid w:val="00F71FD3"/>
    <w:rsid w:val="00F72406"/>
    <w:rsid w:val="00F72651"/>
    <w:rsid w:val="00F72F3D"/>
    <w:rsid w:val="00F73035"/>
    <w:rsid w:val="00F73138"/>
    <w:rsid w:val="00F73A86"/>
    <w:rsid w:val="00F74159"/>
    <w:rsid w:val="00F74A39"/>
    <w:rsid w:val="00F74A58"/>
    <w:rsid w:val="00F753A2"/>
    <w:rsid w:val="00F760A1"/>
    <w:rsid w:val="00F76239"/>
    <w:rsid w:val="00F763FC"/>
    <w:rsid w:val="00F768E8"/>
    <w:rsid w:val="00F76E21"/>
    <w:rsid w:val="00F76F04"/>
    <w:rsid w:val="00F770D4"/>
    <w:rsid w:val="00F7716F"/>
    <w:rsid w:val="00F7769A"/>
    <w:rsid w:val="00F77A46"/>
    <w:rsid w:val="00F77F34"/>
    <w:rsid w:val="00F80AC9"/>
    <w:rsid w:val="00F80C61"/>
    <w:rsid w:val="00F80E8D"/>
    <w:rsid w:val="00F81074"/>
    <w:rsid w:val="00F81533"/>
    <w:rsid w:val="00F819A6"/>
    <w:rsid w:val="00F81D66"/>
    <w:rsid w:val="00F81DF2"/>
    <w:rsid w:val="00F8200A"/>
    <w:rsid w:val="00F820B4"/>
    <w:rsid w:val="00F824E3"/>
    <w:rsid w:val="00F82A72"/>
    <w:rsid w:val="00F83650"/>
    <w:rsid w:val="00F8382E"/>
    <w:rsid w:val="00F8383B"/>
    <w:rsid w:val="00F83862"/>
    <w:rsid w:val="00F838F9"/>
    <w:rsid w:val="00F83B6B"/>
    <w:rsid w:val="00F83FF4"/>
    <w:rsid w:val="00F84498"/>
    <w:rsid w:val="00F847ED"/>
    <w:rsid w:val="00F84A2E"/>
    <w:rsid w:val="00F84D6E"/>
    <w:rsid w:val="00F84DB2"/>
    <w:rsid w:val="00F8527A"/>
    <w:rsid w:val="00F8548F"/>
    <w:rsid w:val="00F8655D"/>
    <w:rsid w:val="00F86846"/>
    <w:rsid w:val="00F86C17"/>
    <w:rsid w:val="00F87096"/>
    <w:rsid w:val="00F87348"/>
    <w:rsid w:val="00F87539"/>
    <w:rsid w:val="00F87697"/>
    <w:rsid w:val="00F87975"/>
    <w:rsid w:val="00F906EC"/>
    <w:rsid w:val="00F90788"/>
    <w:rsid w:val="00F909A4"/>
    <w:rsid w:val="00F90C84"/>
    <w:rsid w:val="00F90D96"/>
    <w:rsid w:val="00F90ED4"/>
    <w:rsid w:val="00F914AD"/>
    <w:rsid w:val="00F914D0"/>
    <w:rsid w:val="00F919E4"/>
    <w:rsid w:val="00F91AE2"/>
    <w:rsid w:val="00F91B72"/>
    <w:rsid w:val="00F91F96"/>
    <w:rsid w:val="00F91FE8"/>
    <w:rsid w:val="00F92308"/>
    <w:rsid w:val="00F923CA"/>
    <w:rsid w:val="00F92782"/>
    <w:rsid w:val="00F92E5C"/>
    <w:rsid w:val="00F92F32"/>
    <w:rsid w:val="00F93C62"/>
    <w:rsid w:val="00F94113"/>
    <w:rsid w:val="00F94481"/>
    <w:rsid w:val="00F95B60"/>
    <w:rsid w:val="00F95B65"/>
    <w:rsid w:val="00F95C72"/>
    <w:rsid w:val="00F962FB"/>
    <w:rsid w:val="00FA09B3"/>
    <w:rsid w:val="00FA14E7"/>
    <w:rsid w:val="00FA15CA"/>
    <w:rsid w:val="00FA1E47"/>
    <w:rsid w:val="00FA224C"/>
    <w:rsid w:val="00FA2402"/>
    <w:rsid w:val="00FA27D6"/>
    <w:rsid w:val="00FA2A6C"/>
    <w:rsid w:val="00FA2E9C"/>
    <w:rsid w:val="00FA3031"/>
    <w:rsid w:val="00FA3077"/>
    <w:rsid w:val="00FA3449"/>
    <w:rsid w:val="00FA3BEC"/>
    <w:rsid w:val="00FA3CE6"/>
    <w:rsid w:val="00FA4483"/>
    <w:rsid w:val="00FA469F"/>
    <w:rsid w:val="00FA4B40"/>
    <w:rsid w:val="00FA4B6F"/>
    <w:rsid w:val="00FA4C5A"/>
    <w:rsid w:val="00FA4F7A"/>
    <w:rsid w:val="00FA51DC"/>
    <w:rsid w:val="00FA6471"/>
    <w:rsid w:val="00FA6A2F"/>
    <w:rsid w:val="00FA6E21"/>
    <w:rsid w:val="00FA6F3F"/>
    <w:rsid w:val="00FA7800"/>
    <w:rsid w:val="00FA7B43"/>
    <w:rsid w:val="00FA7ECC"/>
    <w:rsid w:val="00FB014D"/>
    <w:rsid w:val="00FB0AA6"/>
    <w:rsid w:val="00FB17EE"/>
    <w:rsid w:val="00FB2290"/>
    <w:rsid w:val="00FB29DD"/>
    <w:rsid w:val="00FB2E34"/>
    <w:rsid w:val="00FB32FC"/>
    <w:rsid w:val="00FB3B56"/>
    <w:rsid w:val="00FB42A0"/>
    <w:rsid w:val="00FB438C"/>
    <w:rsid w:val="00FB4544"/>
    <w:rsid w:val="00FB46F0"/>
    <w:rsid w:val="00FB4965"/>
    <w:rsid w:val="00FB5AFE"/>
    <w:rsid w:val="00FB5B98"/>
    <w:rsid w:val="00FB5C60"/>
    <w:rsid w:val="00FB5D8D"/>
    <w:rsid w:val="00FB5E25"/>
    <w:rsid w:val="00FB5FC5"/>
    <w:rsid w:val="00FB60AC"/>
    <w:rsid w:val="00FB6C67"/>
    <w:rsid w:val="00FB6CFD"/>
    <w:rsid w:val="00FB6D2A"/>
    <w:rsid w:val="00FB7005"/>
    <w:rsid w:val="00FB7979"/>
    <w:rsid w:val="00FB79EA"/>
    <w:rsid w:val="00FB7D18"/>
    <w:rsid w:val="00FB7D30"/>
    <w:rsid w:val="00FB7E82"/>
    <w:rsid w:val="00FB7F59"/>
    <w:rsid w:val="00FC041D"/>
    <w:rsid w:val="00FC04BB"/>
    <w:rsid w:val="00FC055E"/>
    <w:rsid w:val="00FC05A5"/>
    <w:rsid w:val="00FC0609"/>
    <w:rsid w:val="00FC07CB"/>
    <w:rsid w:val="00FC088A"/>
    <w:rsid w:val="00FC08BE"/>
    <w:rsid w:val="00FC0DFE"/>
    <w:rsid w:val="00FC0E26"/>
    <w:rsid w:val="00FC152F"/>
    <w:rsid w:val="00FC2885"/>
    <w:rsid w:val="00FC2F2D"/>
    <w:rsid w:val="00FC36A1"/>
    <w:rsid w:val="00FC43AE"/>
    <w:rsid w:val="00FC4873"/>
    <w:rsid w:val="00FC4980"/>
    <w:rsid w:val="00FC4A90"/>
    <w:rsid w:val="00FC4AD5"/>
    <w:rsid w:val="00FC59BC"/>
    <w:rsid w:val="00FC5F4F"/>
    <w:rsid w:val="00FC6753"/>
    <w:rsid w:val="00FC6A8A"/>
    <w:rsid w:val="00FC7023"/>
    <w:rsid w:val="00FC7139"/>
    <w:rsid w:val="00FC76D2"/>
    <w:rsid w:val="00FC77DA"/>
    <w:rsid w:val="00FC7C38"/>
    <w:rsid w:val="00FC7EC9"/>
    <w:rsid w:val="00FD018D"/>
    <w:rsid w:val="00FD0235"/>
    <w:rsid w:val="00FD02B4"/>
    <w:rsid w:val="00FD02FE"/>
    <w:rsid w:val="00FD0367"/>
    <w:rsid w:val="00FD05B3"/>
    <w:rsid w:val="00FD0614"/>
    <w:rsid w:val="00FD097A"/>
    <w:rsid w:val="00FD143E"/>
    <w:rsid w:val="00FD1DD8"/>
    <w:rsid w:val="00FD2318"/>
    <w:rsid w:val="00FD2344"/>
    <w:rsid w:val="00FD23E4"/>
    <w:rsid w:val="00FD3CB0"/>
    <w:rsid w:val="00FD3F36"/>
    <w:rsid w:val="00FD41BC"/>
    <w:rsid w:val="00FD460B"/>
    <w:rsid w:val="00FD473B"/>
    <w:rsid w:val="00FD4D4A"/>
    <w:rsid w:val="00FD5018"/>
    <w:rsid w:val="00FD59F6"/>
    <w:rsid w:val="00FD5B91"/>
    <w:rsid w:val="00FD5CB0"/>
    <w:rsid w:val="00FD65A4"/>
    <w:rsid w:val="00FD6DF5"/>
    <w:rsid w:val="00FD7049"/>
    <w:rsid w:val="00FD756F"/>
    <w:rsid w:val="00FD784E"/>
    <w:rsid w:val="00FD7CE5"/>
    <w:rsid w:val="00FD7ECF"/>
    <w:rsid w:val="00FE0572"/>
    <w:rsid w:val="00FE10C0"/>
    <w:rsid w:val="00FE1246"/>
    <w:rsid w:val="00FE1251"/>
    <w:rsid w:val="00FE1B83"/>
    <w:rsid w:val="00FE2284"/>
    <w:rsid w:val="00FE2AC5"/>
    <w:rsid w:val="00FE2AD8"/>
    <w:rsid w:val="00FE2D00"/>
    <w:rsid w:val="00FE2DDA"/>
    <w:rsid w:val="00FE2EE4"/>
    <w:rsid w:val="00FE2F0E"/>
    <w:rsid w:val="00FE3160"/>
    <w:rsid w:val="00FE3999"/>
    <w:rsid w:val="00FE4224"/>
    <w:rsid w:val="00FE4C13"/>
    <w:rsid w:val="00FE522D"/>
    <w:rsid w:val="00FE547C"/>
    <w:rsid w:val="00FE59B3"/>
    <w:rsid w:val="00FE5A6E"/>
    <w:rsid w:val="00FE5F04"/>
    <w:rsid w:val="00FE60E7"/>
    <w:rsid w:val="00FE61D3"/>
    <w:rsid w:val="00FE6392"/>
    <w:rsid w:val="00FE6453"/>
    <w:rsid w:val="00FE6884"/>
    <w:rsid w:val="00FE6E79"/>
    <w:rsid w:val="00FE71DC"/>
    <w:rsid w:val="00FE7883"/>
    <w:rsid w:val="00FE78DE"/>
    <w:rsid w:val="00FF023D"/>
    <w:rsid w:val="00FF03F5"/>
    <w:rsid w:val="00FF047F"/>
    <w:rsid w:val="00FF0945"/>
    <w:rsid w:val="00FF0CD0"/>
    <w:rsid w:val="00FF0F24"/>
    <w:rsid w:val="00FF0FFB"/>
    <w:rsid w:val="00FF1810"/>
    <w:rsid w:val="00FF1926"/>
    <w:rsid w:val="00FF1AAF"/>
    <w:rsid w:val="00FF1BBD"/>
    <w:rsid w:val="00FF1D84"/>
    <w:rsid w:val="00FF1FF9"/>
    <w:rsid w:val="00FF2730"/>
    <w:rsid w:val="00FF27F7"/>
    <w:rsid w:val="00FF2C01"/>
    <w:rsid w:val="00FF3705"/>
    <w:rsid w:val="00FF412D"/>
    <w:rsid w:val="00FF4A0A"/>
    <w:rsid w:val="00FF4B21"/>
    <w:rsid w:val="00FF4D59"/>
    <w:rsid w:val="00FF505A"/>
    <w:rsid w:val="00FF5065"/>
    <w:rsid w:val="00FF52CD"/>
    <w:rsid w:val="00FF6215"/>
    <w:rsid w:val="00FF627B"/>
    <w:rsid w:val="00FF6739"/>
    <w:rsid w:val="00FF6BB8"/>
    <w:rsid w:val="00FF6D66"/>
    <w:rsid w:val="00FF767B"/>
    <w:rsid w:val="00FF7B80"/>
    <w:rsid w:val="00FF7F81"/>
    <w:rsid w:val="0DA851E3"/>
    <w:rsid w:val="1C432259"/>
    <w:rsid w:val="24BF750A"/>
    <w:rsid w:val="286C1405"/>
    <w:rsid w:val="47361CB3"/>
    <w:rsid w:val="4F8B0288"/>
    <w:rsid w:val="53061C6E"/>
    <w:rsid w:val="55610BD7"/>
    <w:rsid w:val="57F02E9D"/>
    <w:rsid w:val="5F5C50D8"/>
    <w:rsid w:val="64AC51D4"/>
    <w:rsid w:val="666C3B6E"/>
    <w:rsid w:val="6E4C25B1"/>
    <w:rsid w:val="6ED50FAB"/>
    <w:rsid w:val="6EF159AD"/>
    <w:rsid w:val="6F1C2C78"/>
    <w:rsid w:val="70FD2C37"/>
  </w:rsids>
  <m:mathPr>
    <m:mathFont m:val="Cambria Math"/>
    <m:brkBin m:val="before"/>
    <m:brkBinSub m:val="--"/>
    <m:smallFrac m:val="1"/>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99"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uiPriority="99" w:name="List Continue 5"/>
    <w:lsdException w:uiPriority="99" w:name="Message Header"/>
    <w:lsdException w:qFormat="1" w:unhideWhenUsed="0" w:uiPriority="0" w:semiHidden="0" w:name="Subtitle"/>
    <w:lsdException w:qFormat="1"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C" w:eastAsia="es-EC" w:bidi="ar-SA"/>
    </w:rPr>
  </w:style>
  <w:style w:type="paragraph" w:styleId="2">
    <w:name w:val="heading 1"/>
    <w:basedOn w:val="1"/>
    <w:next w:val="1"/>
    <w:link w:val="48"/>
    <w:qFormat/>
    <w:uiPriority w:val="9"/>
    <w:pPr>
      <w:keepNext/>
      <w:suppressAutoHyphens/>
      <w:spacing w:before="240" w:after="60" w:line="240" w:lineRule="auto"/>
      <w:outlineLvl w:val="0"/>
    </w:pPr>
    <w:rPr>
      <w:rFonts w:ascii="Cambria" w:hAnsi="Cambria" w:eastAsia="Times New Roman" w:cs="Mangal"/>
      <w:b/>
      <w:bCs/>
      <w:kern w:val="32"/>
      <w:sz w:val="32"/>
      <w:szCs w:val="29"/>
      <w:lang w:eastAsia="hi-IN" w:bidi="hi-IN"/>
    </w:rPr>
  </w:style>
  <w:style w:type="paragraph" w:styleId="3">
    <w:name w:val="heading 2"/>
    <w:basedOn w:val="1"/>
    <w:next w:val="1"/>
    <w:link w:val="49"/>
    <w:unhideWhenUsed/>
    <w:qFormat/>
    <w:uiPriority w:val="9"/>
    <w:pPr>
      <w:keepNext/>
      <w:suppressAutoHyphens/>
      <w:spacing w:before="240" w:after="60" w:line="240" w:lineRule="auto"/>
      <w:outlineLvl w:val="1"/>
    </w:pPr>
    <w:rPr>
      <w:rFonts w:ascii="Cambria" w:hAnsi="Cambria" w:eastAsia="Times New Roman" w:cs="Mangal"/>
      <w:b/>
      <w:bCs/>
      <w:i/>
      <w:iCs/>
      <w:sz w:val="28"/>
      <w:szCs w:val="25"/>
      <w:lang w:eastAsia="hi-IN" w:bidi="hi-IN"/>
    </w:rPr>
  </w:style>
  <w:style w:type="paragraph" w:styleId="4">
    <w:name w:val="heading 3"/>
    <w:basedOn w:val="1"/>
    <w:next w:val="1"/>
    <w:link w:val="50"/>
    <w:unhideWhenUsed/>
    <w:qFormat/>
    <w:uiPriority w:val="9"/>
    <w:pPr>
      <w:keepNext/>
      <w:suppressAutoHyphens/>
      <w:spacing w:before="240" w:after="60" w:line="240" w:lineRule="auto"/>
      <w:outlineLvl w:val="2"/>
    </w:pPr>
    <w:rPr>
      <w:rFonts w:ascii="Cambria" w:hAnsi="Cambria" w:eastAsia="Times New Roman" w:cs="Mangal"/>
      <w:b/>
      <w:bCs/>
      <w:sz w:val="26"/>
      <w:szCs w:val="23"/>
      <w:lang w:eastAsia="hi-IN" w:bidi="hi-IN"/>
    </w:rPr>
  </w:style>
  <w:style w:type="paragraph" w:styleId="5">
    <w:name w:val="heading 4"/>
    <w:basedOn w:val="1"/>
    <w:next w:val="1"/>
    <w:link w:val="51"/>
    <w:unhideWhenUsed/>
    <w:qFormat/>
    <w:uiPriority w:val="9"/>
    <w:pPr>
      <w:keepNext/>
      <w:suppressAutoHyphens/>
      <w:spacing w:before="240" w:after="60" w:line="240" w:lineRule="auto"/>
      <w:outlineLvl w:val="3"/>
    </w:pPr>
    <w:rPr>
      <w:rFonts w:ascii="Calibri" w:hAnsi="Calibri" w:eastAsia="Times New Roman" w:cs="Mangal"/>
      <w:b/>
      <w:bCs/>
      <w:sz w:val="28"/>
      <w:szCs w:val="25"/>
      <w:lang w:eastAsia="hi-IN" w:bidi="hi-IN"/>
    </w:rPr>
  </w:style>
  <w:style w:type="paragraph" w:styleId="6">
    <w:name w:val="heading 5"/>
    <w:basedOn w:val="1"/>
    <w:next w:val="1"/>
    <w:link w:val="52"/>
    <w:unhideWhenUsed/>
    <w:qFormat/>
    <w:uiPriority w:val="9"/>
    <w:pPr>
      <w:suppressAutoHyphens/>
      <w:spacing w:before="240" w:after="60" w:line="240" w:lineRule="auto"/>
      <w:outlineLvl w:val="4"/>
    </w:pPr>
    <w:rPr>
      <w:rFonts w:ascii="Calibri" w:hAnsi="Calibri" w:eastAsia="Times New Roman" w:cs="Mangal"/>
      <w:b/>
      <w:bCs/>
      <w:i/>
      <w:iCs/>
      <w:sz w:val="26"/>
      <w:szCs w:val="23"/>
      <w:lang w:eastAsia="hi-IN" w:bidi="hi-IN"/>
    </w:rPr>
  </w:style>
  <w:style w:type="paragraph" w:styleId="7">
    <w:name w:val="heading 6"/>
    <w:basedOn w:val="1"/>
    <w:next w:val="1"/>
    <w:link w:val="53"/>
    <w:qFormat/>
    <w:uiPriority w:val="0"/>
    <w:pPr>
      <w:suppressAutoHyphens/>
      <w:spacing w:before="198" w:after="0" w:line="240" w:lineRule="auto"/>
      <w:outlineLvl w:val="5"/>
    </w:pPr>
    <w:rPr>
      <w:rFonts w:ascii="Times New Roman" w:hAnsi="Times New Roman" w:eastAsia="Times New Roman" w:cs="Times New Roman"/>
      <w:b/>
      <w:bCs/>
      <w:color w:val="000080"/>
      <w:sz w:val="15"/>
      <w:szCs w:val="15"/>
      <w:lang w:bidi="hi-IN"/>
    </w:rPr>
  </w:style>
  <w:style w:type="paragraph" w:styleId="8">
    <w:name w:val="heading 7"/>
    <w:basedOn w:val="1"/>
    <w:next w:val="1"/>
    <w:link w:val="54"/>
    <w:qFormat/>
    <w:uiPriority w:val="0"/>
    <w:pPr>
      <w:keepNext/>
      <w:widowControl w:val="0"/>
      <w:suppressAutoHyphens/>
      <w:spacing w:after="0" w:line="240" w:lineRule="auto"/>
      <w:ind w:left="5029" w:hanging="360"/>
      <w:jc w:val="center"/>
      <w:outlineLvl w:val="6"/>
    </w:pPr>
    <w:rPr>
      <w:rFonts w:ascii="Flat Brush" w:hAnsi="Flat Brush" w:eastAsia="Times New Roman" w:cs="Times New Roman"/>
      <w:b/>
      <w:sz w:val="32"/>
      <w:szCs w:val="20"/>
      <w:lang w:val="es-ES" w:eastAsia="hi-IN" w:bidi="hi-IN"/>
    </w:rPr>
  </w:style>
  <w:style w:type="paragraph" w:styleId="9">
    <w:name w:val="heading 8"/>
    <w:basedOn w:val="1"/>
    <w:next w:val="1"/>
    <w:link w:val="55"/>
    <w:unhideWhenUsed/>
    <w:qFormat/>
    <w:uiPriority w:val="9"/>
    <w:pPr>
      <w:suppressAutoHyphens/>
      <w:spacing w:before="240" w:after="60" w:line="240" w:lineRule="auto"/>
      <w:outlineLvl w:val="7"/>
    </w:pPr>
    <w:rPr>
      <w:rFonts w:ascii="Calibri" w:hAnsi="Calibri" w:eastAsia="Times New Roman" w:cs="Mangal"/>
      <w:i/>
      <w:iCs/>
      <w:sz w:val="24"/>
      <w:szCs w:val="21"/>
      <w:lang w:eastAsia="hi-IN" w:bidi="hi-IN"/>
    </w:rPr>
  </w:style>
  <w:style w:type="paragraph" w:styleId="10">
    <w:name w:val="heading 9"/>
    <w:basedOn w:val="1"/>
    <w:next w:val="1"/>
    <w:link w:val="56"/>
    <w:qFormat/>
    <w:uiPriority w:val="9"/>
    <w:pPr>
      <w:keepNext/>
      <w:widowControl w:val="0"/>
      <w:suppressAutoHyphens/>
      <w:spacing w:after="0" w:line="240" w:lineRule="auto"/>
      <w:ind w:left="6469" w:hanging="360"/>
      <w:jc w:val="center"/>
      <w:outlineLvl w:val="8"/>
    </w:pPr>
    <w:rPr>
      <w:rFonts w:ascii="Dolphin" w:hAnsi="Dolphin" w:eastAsia="Times New Roman" w:cs="Times New Roman"/>
      <w:b/>
      <w:sz w:val="36"/>
      <w:szCs w:val="20"/>
      <w:lang w:val="es-ES" w:eastAsia="hi-IN" w:bidi="hi-IN"/>
    </w:rPr>
  </w:style>
  <w:style w:type="character" w:default="1" w:styleId="38">
    <w:name w:val="Default Paragraph Font"/>
    <w:unhideWhenUsed/>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List Continue 2"/>
    <w:basedOn w:val="1"/>
    <w:unhideWhenUsed/>
    <w:qFormat/>
    <w:uiPriority w:val="99"/>
    <w:pPr>
      <w:suppressAutoHyphens/>
      <w:spacing w:after="120" w:line="240" w:lineRule="auto"/>
      <w:ind w:left="566"/>
      <w:contextualSpacing/>
    </w:pPr>
    <w:rPr>
      <w:rFonts w:ascii="Times New Roman" w:hAnsi="Times New Roman" w:eastAsia="Times New Roman" w:cs="Mangal"/>
      <w:sz w:val="24"/>
      <w:szCs w:val="20"/>
      <w:lang w:eastAsia="hi-IN" w:bidi="hi-IN"/>
    </w:rPr>
  </w:style>
  <w:style w:type="paragraph" w:styleId="12">
    <w:name w:val="footnote text"/>
    <w:basedOn w:val="1"/>
    <w:link w:val="82"/>
    <w:unhideWhenUsed/>
    <w:qFormat/>
    <w:uiPriority w:val="0"/>
    <w:pPr>
      <w:spacing w:after="0" w:line="240" w:lineRule="auto"/>
    </w:pPr>
    <w:rPr>
      <w:rFonts w:ascii="Calibri" w:hAnsi="Calibri" w:eastAsia="Calibri" w:cs="Times New Roman"/>
      <w:sz w:val="20"/>
      <w:szCs w:val="20"/>
    </w:rPr>
  </w:style>
  <w:style w:type="paragraph" w:styleId="13">
    <w:name w:val="endnote text"/>
    <w:basedOn w:val="1"/>
    <w:link w:val="390"/>
    <w:semiHidden/>
    <w:qFormat/>
    <w:uiPriority w:val="0"/>
    <w:pPr>
      <w:widowControl w:val="0"/>
      <w:snapToGrid w:val="0"/>
      <w:spacing w:after="0" w:line="240" w:lineRule="auto"/>
    </w:pPr>
    <w:rPr>
      <w:rFonts w:ascii="Courier New" w:hAnsi="Courier New" w:cs="Courier New"/>
      <w:snapToGrid w:val="0"/>
      <w:sz w:val="24"/>
    </w:rPr>
  </w:style>
  <w:style w:type="paragraph" w:styleId="14">
    <w:name w:val="List Continue 3"/>
    <w:basedOn w:val="1"/>
    <w:unhideWhenUsed/>
    <w:qFormat/>
    <w:uiPriority w:val="99"/>
    <w:pPr>
      <w:suppressAutoHyphens/>
      <w:spacing w:after="120" w:line="240" w:lineRule="auto"/>
      <w:ind w:left="849"/>
      <w:contextualSpacing/>
    </w:pPr>
    <w:rPr>
      <w:rFonts w:ascii="Times New Roman" w:hAnsi="Times New Roman" w:eastAsia="Times New Roman" w:cs="Mangal"/>
      <w:sz w:val="24"/>
      <w:szCs w:val="20"/>
      <w:lang w:eastAsia="hi-IN" w:bidi="hi-IN"/>
    </w:rPr>
  </w:style>
  <w:style w:type="paragraph" w:styleId="15">
    <w:name w:val="annotation subject"/>
    <w:basedOn w:val="16"/>
    <w:next w:val="16"/>
    <w:link w:val="64"/>
    <w:unhideWhenUsed/>
    <w:qFormat/>
    <w:uiPriority w:val="99"/>
    <w:rPr>
      <w:b/>
      <w:bCs/>
    </w:rPr>
  </w:style>
  <w:style w:type="paragraph" w:styleId="16">
    <w:name w:val="annotation text"/>
    <w:basedOn w:val="1"/>
    <w:link w:val="63"/>
    <w:unhideWhenUsed/>
    <w:qFormat/>
    <w:uiPriority w:val="99"/>
    <w:pPr>
      <w:suppressAutoHyphens/>
      <w:spacing w:after="0" w:line="240" w:lineRule="auto"/>
    </w:pPr>
    <w:rPr>
      <w:rFonts w:ascii="Times New Roman" w:hAnsi="Times New Roman" w:eastAsia="Times New Roman" w:cs="Mangal"/>
      <w:sz w:val="20"/>
      <w:szCs w:val="18"/>
      <w:lang w:eastAsia="hi-IN" w:bidi="hi-IN"/>
    </w:rPr>
  </w:style>
  <w:style w:type="paragraph" w:styleId="17">
    <w:name w:val="Balloon Text"/>
    <w:basedOn w:val="1"/>
    <w:link w:val="62"/>
    <w:unhideWhenUsed/>
    <w:qFormat/>
    <w:uiPriority w:val="99"/>
    <w:pPr>
      <w:suppressAutoHyphens/>
      <w:spacing w:after="0" w:line="240" w:lineRule="auto"/>
    </w:pPr>
    <w:rPr>
      <w:rFonts w:ascii="Tahoma" w:hAnsi="Tahoma" w:eastAsia="Times New Roman" w:cs="Mangal"/>
      <w:sz w:val="16"/>
      <w:szCs w:val="14"/>
      <w:lang w:eastAsia="hi-IN" w:bidi="hi-IN"/>
    </w:rPr>
  </w:style>
  <w:style w:type="paragraph" w:styleId="18">
    <w:name w:val="Closing"/>
    <w:basedOn w:val="1"/>
    <w:link w:val="86"/>
    <w:unhideWhenUsed/>
    <w:qFormat/>
    <w:uiPriority w:val="99"/>
    <w:pPr>
      <w:suppressAutoHyphens/>
      <w:spacing w:after="0" w:line="240" w:lineRule="auto"/>
      <w:ind w:left="4252"/>
    </w:pPr>
    <w:rPr>
      <w:rFonts w:ascii="Times New Roman" w:hAnsi="Times New Roman" w:eastAsia="Times New Roman" w:cs="Mangal"/>
      <w:sz w:val="24"/>
      <w:szCs w:val="20"/>
      <w:lang w:eastAsia="hi-IN" w:bidi="hi-IN"/>
    </w:rPr>
  </w:style>
  <w:style w:type="paragraph" w:styleId="19">
    <w:name w:val="List Continue"/>
    <w:basedOn w:val="1"/>
    <w:unhideWhenUsed/>
    <w:qFormat/>
    <w:uiPriority w:val="99"/>
    <w:pPr>
      <w:suppressAutoHyphens/>
      <w:spacing w:after="120" w:line="240" w:lineRule="auto"/>
      <w:ind w:left="283"/>
      <w:contextualSpacing/>
    </w:pPr>
    <w:rPr>
      <w:rFonts w:ascii="Times New Roman" w:hAnsi="Times New Roman" w:eastAsia="Times New Roman" w:cs="Mangal"/>
      <w:sz w:val="24"/>
      <w:szCs w:val="20"/>
      <w:lang w:eastAsia="hi-IN" w:bidi="hi-IN"/>
    </w:rPr>
  </w:style>
  <w:style w:type="paragraph" w:styleId="20">
    <w:name w:val="List Continue 4"/>
    <w:basedOn w:val="1"/>
    <w:unhideWhenUsed/>
    <w:qFormat/>
    <w:uiPriority w:val="99"/>
    <w:pPr>
      <w:suppressAutoHyphens/>
      <w:spacing w:after="120" w:line="240" w:lineRule="auto"/>
      <w:ind w:left="1132"/>
      <w:contextualSpacing/>
    </w:pPr>
    <w:rPr>
      <w:rFonts w:ascii="Times New Roman" w:hAnsi="Times New Roman" w:eastAsia="Times New Roman" w:cs="Mangal"/>
      <w:sz w:val="24"/>
      <w:szCs w:val="20"/>
      <w:lang w:eastAsia="hi-IN" w:bidi="hi-IN"/>
    </w:rPr>
  </w:style>
  <w:style w:type="paragraph" w:styleId="21">
    <w:name w:val="List 3"/>
    <w:basedOn w:val="1"/>
    <w:unhideWhenUsed/>
    <w:qFormat/>
    <w:uiPriority w:val="99"/>
    <w:pPr>
      <w:suppressAutoHyphens/>
      <w:spacing w:after="0" w:line="240" w:lineRule="auto"/>
      <w:ind w:left="849" w:hanging="283"/>
      <w:contextualSpacing/>
    </w:pPr>
    <w:rPr>
      <w:rFonts w:ascii="Times New Roman" w:hAnsi="Times New Roman" w:eastAsia="Times New Roman" w:cs="Mangal"/>
      <w:sz w:val="24"/>
      <w:szCs w:val="20"/>
      <w:lang w:eastAsia="hi-IN" w:bidi="hi-IN"/>
    </w:rPr>
  </w:style>
  <w:style w:type="paragraph" w:styleId="22">
    <w:name w:val="header"/>
    <w:basedOn w:val="1"/>
    <w:link w:val="60"/>
    <w:unhideWhenUsed/>
    <w:qFormat/>
    <w:uiPriority w:val="0"/>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23">
    <w:name w:val="Body Text Indent"/>
    <w:basedOn w:val="1"/>
    <w:link w:val="65"/>
    <w:qFormat/>
    <w:uiPriority w:val="0"/>
    <w:pPr>
      <w:suppressAutoHyphens/>
      <w:spacing w:after="120" w:line="240" w:lineRule="auto"/>
      <w:ind w:left="283"/>
    </w:pPr>
    <w:rPr>
      <w:rFonts w:ascii="Times New Roman" w:hAnsi="Times New Roman" w:eastAsia="Times New Roman" w:cs="Times New Roman"/>
      <w:sz w:val="24"/>
      <w:szCs w:val="20"/>
      <w:lang w:eastAsia="hi-IN" w:bidi="hi-IN"/>
    </w:rPr>
  </w:style>
  <w:style w:type="paragraph" w:styleId="24">
    <w:name w:val="List 2"/>
    <w:basedOn w:val="1"/>
    <w:unhideWhenUsed/>
    <w:qFormat/>
    <w:uiPriority w:val="99"/>
    <w:pPr>
      <w:suppressAutoHyphens/>
      <w:spacing w:after="0" w:line="240" w:lineRule="auto"/>
      <w:ind w:left="566" w:hanging="283"/>
      <w:contextualSpacing/>
    </w:pPr>
    <w:rPr>
      <w:rFonts w:ascii="Times New Roman" w:hAnsi="Times New Roman" w:eastAsia="Times New Roman" w:cs="Mangal"/>
      <w:sz w:val="24"/>
      <w:szCs w:val="20"/>
      <w:lang w:eastAsia="hi-IN" w:bidi="hi-IN"/>
    </w:rPr>
  </w:style>
  <w:style w:type="paragraph" w:styleId="25">
    <w:name w:val="Signature"/>
    <w:basedOn w:val="1"/>
    <w:link w:val="383"/>
    <w:qFormat/>
    <w:uiPriority w:val="0"/>
    <w:pPr>
      <w:suppressAutoHyphens/>
      <w:spacing w:after="0" w:line="240" w:lineRule="auto"/>
      <w:ind w:left="4252"/>
    </w:pPr>
    <w:rPr>
      <w:rFonts w:ascii="Times New Roman" w:hAnsi="Times New Roman" w:eastAsia="Times New Roman" w:cs="Times New Roman"/>
      <w:sz w:val="24"/>
      <w:szCs w:val="20"/>
      <w:lang w:val="es-ES" w:eastAsia="hi-IN" w:bidi="hi-IN"/>
    </w:rPr>
  </w:style>
  <w:style w:type="paragraph" w:styleId="26">
    <w:name w:val="List"/>
    <w:basedOn w:val="1"/>
    <w:unhideWhenUsed/>
    <w:qFormat/>
    <w:uiPriority w:val="0"/>
    <w:pPr>
      <w:suppressAutoHyphens/>
      <w:spacing w:after="0" w:line="240" w:lineRule="auto"/>
      <w:ind w:left="283" w:hanging="283"/>
      <w:contextualSpacing/>
    </w:pPr>
    <w:rPr>
      <w:rFonts w:ascii="Times New Roman" w:hAnsi="Times New Roman" w:eastAsia="Times New Roman" w:cs="Mangal"/>
      <w:sz w:val="24"/>
      <w:szCs w:val="20"/>
      <w:lang w:eastAsia="hi-IN" w:bidi="hi-IN"/>
    </w:rPr>
  </w:style>
  <w:style w:type="paragraph" w:styleId="27">
    <w:name w:val="List 4"/>
    <w:basedOn w:val="1"/>
    <w:unhideWhenUsed/>
    <w:qFormat/>
    <w:uiPriority w:val="99"/>
    <w:pPr>
      <w:suppressAutoHyphens/>
      <w:spacing w:after="0" w:line="240" w:lineRule="auto"/>
      <w:ind w:left="1132" w:hanging="283"/>
      <w:contextualSpacing/>
    </w:pPr>
    <w:rPr>
      <w:rFonts w:ascii="Times New Roman" w:hAnsi="Times New Roman" w:eastAsia="Times New Roman" w:cs="Mangal"/>
      <w:sz w:val="24"/>
      <w:szCs w:val="20"/>
      <w:lang w:eastAsia="hi-IN" w:bidi="hi-IN"/>
    </w:rPr>
  </w:style>
  <w:style w:type="paragraph" w:styleId="28">
    <w:name w:val="List Bullet 2"/>
    <w:basedOn w:val="1"/>
    <w:unhideWhenUsed/>
    <w:qFormat/>
    <w:uiPriority w:val="99"/>
    <w:pPr>
      <w:numPr>
        <w:ilvl w:val="0"/>
        <w:numId w:val="1"/>
      </w:numPr>
      <w:suppressAutoHyphens/>
      <w:spacing w:after="0" w:line="240" w:lineRule="auto"/>
      <w:contextualSpacing/>
    </w:pPr>
    <w:rPr>
      <w:rFonts w:ascii="Times New Roman" w:hAnsi="Times New Roman" w:eastAsia="Times New Roman" w:cs="Mangal"/>
      <w:sz w:val="24"/>
      <w:szCs w:val="20"/>
      <w:lang w:eastAsia="hi-IN" w:bidi="hi-IN"/>
    </w:rPr>
  </w:style>
  <w:style w:type="paragraph" w:styleId="29">
    <w:name w:val="Normal (Web)"/>
    <w:basedOn w:val="1"/>
    <w:unhideWhenUsed/>
    <w:qFormat/>
    <w:uiPriority w:val="99"/>
    <w:pPr>
      <w:spacing w:before="100" w:beforeAutospacing="1" w:after="119" w:line="240" w:lineRule="auto"/>
    </w:pPr>
    <w:rPr>
      <w:rFonts w:ascii="Times New Roman" w:hAnsi="Times New Roman" w:eastAsia="Times New Roman" w:cs="Times New Roman"/>
      <w:sz w:val="24"/>
      <w:szCs w:val="24"/>
    </w:rPr>
  </w:style>
  <w:style w:type="paragraph" w:styleId="30">
    <w:name w:val="footer"/>
    <w:basedOn w:val="1"/>
    <w:link w:val="61"/>
    <w:unhideWhenUsed/>
    <w:qFormat/>
    <w:uiPriority w:val="99"/>
    <w:pPr>
      <w:tabs>
        <w:tab w:val="center" w:pos="4419"/>
        <w:tab w:val="right" w:pos="8838"/>
      </w:tabs>
      <w:suppressAutoHyphens/>
      <w:spacing w:after="0" w:line="240" w:lineRule="auto"/>
    </w:pPr>
    <w:rPr>
      <w:rFonts w:ascii="Times New Roman" w:hAnsi="Times New Roman" w:eastAsia="Times New Roman" w:cs="Mangal"/>
      <w:sz w:val="24"/>
      <w:szCs w:val="20"/>
      <w:lang w:eastAsia="hi-IN" w:bidi="hi-IN"/>
    </w:rPr>
  </w:style>
  <w:style w:type="paragraph" w:styleId="31">
    <w:name w:val="Salutation"/>
    <w:basedOn w:val="1"/>
    <w:next w:val="1"/>
    <w:link w:val="85"/>
    <w:unhideWhenUsed/>
    <w:qFormat/>
    <w:uiPriority w:val="99"/>
    <w:pPr>
      <w:suppressAutoHyphens/>
      <w:spacing w:after="0" w:line="240" w:lineRule="auto"/>
    </w:pPr>
    <w:rPr>
      <w:rFonts w:ascii="Times New Roman" w:hAnsi="Times New Roman" w:eastAsia="Times New Roman" w:cs="Mangal"/>
      <w:sz w:val="24"/>
      <w:szCs w:val="20"/>
      <w:lang w:eastAsia="hi-IN" w:bidi="hi-IN"/>
    </w:rPr>
  </w:style>
  <w:style w:type="paragraph" w:styleId="32">
    <w:name w:val="Subtitle"/>
    <w:basedOn w:val="1"/>
    <w:next w:val="33"/>
    <w:link w:val="372"/>
    <w:qFormat/>
    <w:uiPriority w:val="0"/>
    <w:pPr>
      <w:widowControl w:val="0"/>
      <w:suppressAutoHyphens/>
      <w:spacing w:after="0" w:line="240" w:lineRule="auto"/>
      <w:jc w:val="both"/>
    </w:pPr>
    <w:rPr>
      <w:rFonts w:ascii="Arial" w:hAnsi="Arial" w:eastAsia="Times New Roman" w:cs="Times New Roman"/>
      <w:b/>
      <w:spacing w:val="-2"/>
      <w:sz w:val="20"/>
      <w:szCs w:val="20"/>
      <w:lang w:eastAsia="hi-IN" w:bidi="hi-IN"/>
    </w:rPr>
  </w:style>
  <w:style w:type="paragraph" w:styleId="33">
    <w:name w:val="Body Text"/>
    <w:basedOn w:val="1"/>
    <w:link w:val="59"/>
    <w:qFormat/>
    <w:uiPriority w:val="0"/>
    <w:pPr>
      <w:widowControl w:val="0"/>
      <w:suppressAutoHyphens/>
      <w:spacing w:after="0" w:line="240" w:lineRule="auto"/>
      <w:jc w:val="both"/>
    </w:pPr>
    <w:rPr>
      <w:rFonts w:ascii="Arial" w:hAnsi="Arial" w:eastAsia="Times New Roman" w:cs="Times New Roman"/>
      <w:spacing w:val="-2"/>
      <w:sz w:val="20"/>
      <w:szCs w:val="20"/>
      <w:u w:val="single"/>
      <w:lang w:eastAsia="hi-IN" w:bidi="hi-IN"/>
    </w:rPr>
  </w:style>
  <w:style w:type="paragraph" w:styleId="34">
    <w:name w:val="Body Text First Indent"/>
    <w:basedOn w:val="33"/>
    <w:link w:val="87"/>
    <w:unhideWhenUsed/>
    <w:qFormat/>
    <w:uiPriority w:val="99"/>
    <w:pPr>
      <w:widowControl/>
      <w:spacing w:after="120"/>
      <w:ind w:firstLine="210"/>
      <w:jc w:val="left"/>
    </w:pPr>
    <w:rPr>
      <w:rFonts w:ascii="Times New Roman" w:hAnsi="Times New Roman" w:cs="Mangal"/>
      <w:spacing w:val="0"/>
      <w:sz w:val="24"/>
      <w:u w:val="none"/>
    </w:rPr>
  </w:style>
  <w:style w:type="paragraph" w:styleId="35">
    <w:name w:val="Body Text First Indent 2"/>
    <w:basedOn w:val="23"/>
    <w:link w:val="88"/>
    <w:unhideWhenUsed/>
    <w:qFormat/>
    <w:uiPriority w:val="99"/>
    <w:pPr>
      <w:ind w:firstLine="210"/>
    </w:pPr>
    <w:rPr>
      <w:rFonts w:cs="Mangal"/>
    </w:rPr>
  </w:style>
  <w:style w:type="paragraph" w:styleId="36">
    <w:name w:val="Plain Text"/>
    <w:basedOn w:val="1"/>
    <w:link w:val="79"/>
    <w:unhideWhenUsed/>
    <w:qFormat/>
    <w:uiPriority w:val="99"/>
    <w:pPr>
      <w:spacing w:after="0" w:line="240" w:lineRule="auto"/>
    </w:pPr>
    <w:rPr>
      <w:rFonts w:ascii="Calibri" w:hAnsi="Calibri" w:eastAsia="Calibri" w:cs="Times New Roman"/>
      <w:szCs w:val="21"/>
    </w:rPr>
  </w:style>
  <w:style w:type="paragraph" w:styleId="37">
    <w:name w:val="Title"/>
    <w:basedOn w:val="1"/>
    <w:next w:val="32"/>
    <w:link w:val="380"/>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character" w:styleId="39">
    <w:name w:val="endnote reference"/>
    <w:qFormat/>
    <w:uiPriority w:val="0"/>
    <w:rPr>
      <w:vertAlign w:val="superscript"/>
    </w:rPr>
  </w:style>
  <w:style w:type="character" w:styleId="40">
    <w:name w:val="annotation reference"/>
    <w:unhideWhenUsed/>
    <w:qFormat/>
    <w:uiPriority w:val="99"/>
    <w:rPr>
      <w:sz w:val="16"/>
      <w:szCs w:val="16"/>
    </w:rPr>
  </w:style>
  <w:style w:type="character" w:styleId="41">
    <w:name w:val="footnote reference"/>
    <w:qFormat/>
    <w:uiPriority w:val="0"/>
    <w:rPr>
      <w:vertAlign w:val="superscript"/>
    </w:rPr>
  </w:style>
  <w:style w:type="character" w:styleId="42">
    <w:name w:val="Hyperlink"/>
    <w:unhideWhenUsed/>
    <w:qFormat/>
    <w:uiPriority w:val="99"/>
    <w:rPr>
      <w:color w:val="0000FF"/>
      <w:u w:val="single"/>
    </w:rPr>
  </w:style>
  <w:style w:type="character" w:styleId="43">
    <w:name w:val="FollowedHyperlink"/>
    <w:unhideWhenUsed/>
    <w:qFormat/>
    <w:uiPriority w:val="99"/>
    <w:rPr>
      <w:color w:val="800080"/>
      <w:u w:val="single"/>
    </w:rPr>
  </w:style>
  <w:style w:type="character" w:styleId="44">
    <w:name w:val="page number"/>
    <w:qFormat/>
    <w:uiPriority w:val="0"/>
  </w:style>
  <w:style w:type="character" w:styleId="45">
    <w:name w:val="Strong"/>
    <w:qFormat/>
    <w:uiPriority w:val="0"/>
    <w:rPr>
      <w:b/>
    </w:rPr>
  </w:style>
  <w:style w:type="table" w:styleId="47">
    <w:name w:val="Table Grid"/>
    <w:basedOn w:val="46"/>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Título 1 Car"/>
    <w:basedOn w:val="38"/>
    <w:link w:val="2"/>
    <w:qFormat/>
    <w:uiPriority w:val="9"/>
    <w:rPr>
      <w:rFonts w:ascii="Cambria" w:hAnsi="Cambria" w:eastAsia="Times New Roman" w:cs="Mangal"/>
      <w:b/>
      <w:bCs/>
      <w:kern w:val="32"/>
      <w:sz w:val="32"/>
      <w:szCs w:val="29"/>
      <w:lang w:eastAsia="hi-IN" w:bidi="hi-IN"/>
    </w:rPr>
  </w:style>
  <w:style w:type="character" w:customStyle="1" w:styleId="49">
    <w:name w:val="Título 2 Car"/>
    <w:basedOn w:val="38"/>
    <w:link w:val="3"/>
    <w:qFormat/>
    <w:uiPriority w:val="9"/>
    <w:rPr>
      <w:rFonts w:ascii="Cambria" w:hAnsi="Cambria" w:eastAsia="Times New Roman" w:cs="Mangal"/>
      <w:b/>
      <w:bCs/>
      <w:i/>
      <w:iCs/>
      <w:sz w:val="28"/>
      <w:szCs w:val="25"/>
      <w:lang w:eastAsia="hi-IN" w:bidi="hi-IN"/>
    </w:rPr>
  </w:style>
  <w:style w:type="character" w:customStyle="1" w:styleId="50">
    <w:name w:val="Título 3 Car"/>
    <w:basedOn w:val="38"/>
    <w:link w:val="4"/>
    <w:qFormat/>
    <w:uiPriority w:val="9"/>
    <w:rPr>
      <w:rFonts w:ascii="Cambria" w:hAnsi="Cambria" w:eastAsia="Times New Roman" w:cs="Mangal"/>
      <w:b/>
      <w:bCs/>
      <w:sz w:val="26"/>
      <w:szCs w:val="23"/>
      <w:lang w:eastAsia="hi-IN" w:bidi="hi-IN"/>
    </w:rPr>
  </w:style>
  <w:style w:type="character" w:customStyle="1" w:styleId="51">
    <w:name w:val="Título 4 Car"/>
    <w:basedOn w:val="38"/>
    <w:link w:val="5"/>
    <w:qFormat/>
    <w:uiPriority w:val="9"/>
    <w:rPr>
      <w:rFonts w:ascii="Calibri" w:hAnsi="Calibri" w:eastAsia="Times New Roman" w:cs="Mangal"/>
      <w:b/>
      <w:bCs/>
      <w:sz w:val="28"/>
      <w:szCs w:val="25"/>
      <w:lang w:eastAsia="hi-IN" w:bidi="hi-IN"/>
    </w:rPr>
  </w:style>
  <w:style w:type="character" w:customStyle="1" w:styleId="52">
    <w:name w:val="Título 5 Car"/>
    <w:basedOn w:val="38"/>
    <w:link w:val="6"/>
    <w:qFormat/>
    <w:uiPriority w:val="9"/>
    <w:rPr>
      <w:rFonts w:ascii="Calibri" w:hAnsi="Calibri" w:eastAsia="Times New Roman" w:cs="Mangal"/>
      <w:b/>
      <w:bCs/>
      <w:i/>
      <w:iCs/>
      <w:sz w:val="26"/>
      <w:szCs w:val="23"/>
      <w:lang w:eastAsia="hi-IN" w:bidi="hi-IN"/>
    </w:rPr>
  </w:style>
  <w:style w:type="character" w:customStyle="1" w:styleId="53">
    <w:name w:val="Título 6 Car"/>
    <w:basedOn w:val="38"/>
    <w:link w:val="7"/>
    <w:qFormat/>
    <w:uiPriority w:val="0"/>
    <w:rPr>
      <w:rFonts w:ascii="Times New Roman" w:hAnsi="Times New Roman" w:eastAsia="Times New Roman" w:cs="Times New Roman"/>
      <w:b/>
      <w:bCs/>
      <w:color w:val="000080"/>
      <w:sz w:val="15"/>
      <w:szCs w:val="15"/>
      <w:lang w:eastAsia="es-EC" w:bidi="hi-IN"/>
    </w:rPr>
  </w:style>
  <w:style w:type="character" w:customStyle="1" w:styleId="54">
    <w:name w:val="Título 7 Car"/>
    <w:basedOn w:val="38"/>
    <w:link w:val="8"/>
    <w:qFormat/>
    <w:uiPriority w:val="0"/>
    <w:rPr>
      <w:rFonts w:ascii="Flat Brush" w:hAnsi="Flat Brush" w:eastAsia="Times New Roman" w:cs="Times New Roman"/>
      <w:b/>
      <w:sz w:val="32"/>
      <w:szCs w:val="20"/>
      <w:lang w:val="es-ES" w:eastAsia="hi-IN" w:bidi="hi-IN"/>
    </w:rPr>
  </w:style>
  <w:style w:type="character" w:customStyle="1" w:styleId="55">
    <w:name w:val="Título 8 Car"/>
    <w:basedOn w:val="38"/>
    <w:link w:val="9"/>
    <w:qFormat/>
    <w:uiPriority w:val="9"/>
    <w:rPr>
      <w:rFonts w:ascii="Calibri" w:hAnsi="Calibri" w:eastAsia="Times New Roman" w:cs="Mangal"/>
      <w:i/>
      <w:iCs/>
      <w:sz w:val="24"/>
      <w:szCs w:val="21"/>
      <w:lang w:eastAsia="hi-IN" w:bidi="hi-IN"/>
    </w:rPr>
  </w:style>
  <w:style w:type="character" w:customStyle="1" w:styleId="56">
    <w:name w:val="Título 9 Car"/>
    <w:basedOn w:val="38"/>
    <w:link w:val="10"/>
    <w:qFormat/>
    <w:uiPriority w:val="9"/>
    <w:rPr>
      <w:rFonts w:ascii="Dolphin" w:hAnsi="Dolphin" w:eastAsia="Times New Roman" w:cs="Times New Roman"/>
      <w:b/>
      <w:sz w:val="36"/>
      <w:szCs w:val="20"/>
      <w:lang w:val="es-ES" w:eastAsia="hi-IN" w:bidi="hi-IN"/>
    </w:rPr>
  </w:style>
  <w:style w:type="paragraph" w:customStyle="1" w:styleId="57">
    <w:name w:val="List Paragraph"/>
    <w:basedOn w:val="1"/>
    <w:link w:val="58"/>
    <w:qFormat/>
    <w:uiPriority w:val="34"/>
    <w:pPr>
      <w:suppressAutoHyphens/>
      <w:spacing w:after="0" w:line="240" w:lineRule="auto"/>
      <w:ind w:left="720"/>
    </w:pPr>
    <w:rPr>
      <w:rFonts w:ascii="Calibri" w:hAnsi="Calibri" w:eastAsia="Times New Roman" w:cs="Times New Roman"/>
      <w:sz w:val="24"/>
      <w:szCs w:val="20"/>
      <w:lang w:eastAsia="hi-IN" w:bidi="hi-IN"/>
    </w:rPr>
  </w:style>
  <w:style w:type="character" w:customStyle="1" w:styleId="58">
    <w:name w:val="Párrafo de lista Car"/>
    <w:link w:val="57"/>
    <w:qFormat/>
    <w:locked/>
    <w:uiPriority w:val="34"/>
    <w:rPr>
      <w:rFonts w:ascii="Calibri" w:hAnsi="Calibri" w:eastAsia="Times New Roman" w:cs="Times New Roman"/>
      <w:sz w:val="24"/>
      <w:szCs w:val="20"/>
      <w:lang w:eastAsia="hi-IN" w:bidi="hi-IN"/>
    </w:rPr>
  </w:style>
  <w:style w:type="character" w:customStyle="1" w:styleId="59">
    <w:name w:val="Texto independiente Car"/>
    <w:basedOn w:val="38"/>
    <w:link w:val="33"/>
    <w:qFormat/>
    <w:uiPriority w:val="0"/>
    <w:rPr>
      <w:rFonts w:ascii="Arial" w:hAnsi="Arial" w:eastAsia="Times New Roman" w:cs="Times New Roman"/>
      <w:spacing w:val="-2"/>
      <w:sz w:val="20"/>
      <w:szCs w:val="20"/>
      <w:u w:val="single"/>
      <w:lang w:eastAsia="hi-IN" w:bidi="hi-IN"/>
    </w:rPr>
  </w:style>
  <w:style w:type="character" w:customStyle="1" w:styleId="60">
    <w:name w:val="Encabezado Car"/>
    <w:basedOn w:val="38"/>
    <w:link w:val="22"/>
    <w:qFormat/>
    <w:uiPriority w:val="0"/>
    <w:rPr>
      <w:rFonts w:ascii="Times New Roman" w:hAnsi="Times New Roman" w:eastAsia="Times New Roman" w:cs="Mangal"/>
      <w:sz w:val="24"/>
      <w:szCs w:val="20"/>
      <w:lang w:eastAsia="hi-IN" w:bidi="hi-IN"/>
    </w:rPr>
  </w:style>
  <w:style w:type="character" w:customStyle="1" w:styleId="61">
    <w:name w:val="Pie de página Car"/>
    <w:basedOn w:val="38"/>
    <w:link w:val="30"/>
    <w:qFormat/>
    <w:uiPriority w:val="99"/>
    <w:rPr>
      <w:rFonts w:ascii="Times New Roman" w:hAnsi="Times New Roman" w:eastAsia="Times New Roman" w:cs="Mangal"/>
      <w:sz w:val="24"/>
      <w:szCs w:val="20"/>
      <w:lang w:eastAsia="hi-IN" w:bidi="hi-IN"/>
    </w:rPr>
  </w:style>
  <w:style w:type="character" w:customStyle="1" w:styleId="62">
    <w:name w:val="Texto de globo Car"/>
    <w:basedOn w:val="38"/>
    <w:link w:val="17"/>
    <w:qFormat/>
    <w:uiPriority w:val="99"/>
    <w:rPr>
      <w:rFonts w:ascii="Tahoma" w:hAnsi="Tahoma" w:eastAsia="Times New Roman" w:cs="Mangal"/>
      <w:sz w:val="16"/>
      <w:szCs w:val="14"/>
      <w:lang w:eastAsia="hi-IN" w:bidi="hi-IN"/>
    </w:rPr>
  </w:style>
  <w:style w:type="character" w:customStyle="1" w:styleId="63">
    <w:name w:val="Texto comentario Car"/>
    <w:basedOn w:val="38"/>
    <w:link w:val="16"/>
    <w:semiHidden/>
    <w:qFormat/>
    <w:uiPriority w:val="99"/>
    <w:rPr>
      <w:rFonts w:ascii="Times New Roman" w:hAnsi="Times New Roman" w:eastAsia="Times New Roman" w:cs="Mangal"/>
      <w:sz w:val="20"/>
      <w:szCs w:val="18"/>
      <w:lang w:eastAsia="hi-IN" w:bidi="hi-IN"/>
    </w:rPr>
  </w:style>
  <w:style w:type="character" w:customStyle="1" w:styleId="64">
    <w:name w:val="Asunto del comentario Car"/>
    <w:basedOn w:val="63"/>
    <w:link w:val="15"/>
    <w:qFormat/>
    <w:uiPriority w:val="99"/>
    <w:rPr>
      <w:rFonts w:ascii="Times New Roman" w:hAnsi="Times New Roman" w:eastAsia="Times New Roman" w:cs="Mangal"/>
      <w:b/>
      <w:bCs/>
      <w:sz w:val="20"/>
      <w:szCs w:val="18"/>
      <w:lang w:eastAsia="hi-IN" w:bidi="hi-IN"/>
    </w:rPr>
  </w:style>
  <w:style w:type="character" w:customStyle="1" w:styleId="65">
    <w:name w:val="Sangría de texto normal Car"/>
    <w:basedOn w:val="38"/>
    <w:link w:val="23"/>
    <w:qFormat/>
    <w:uiPriority w:val="0"/>
    <w:rPr>
      <w:rFonts w:ascii="Times New Roman" w:hAnsi="Times New Roman" w:eastAsia="Times New Roman" w:cs="Times New Roman"/>
      <w:sz w:val="24"/>
      <w:szCs w:val="20"/>
      <w:lang w:eastAsia="hi-IN" w:bidi="hi-IN"/>
    </w:rPr>
  </w:style>
  <w:style w:type="paragraph" w:customStyle="1" w:styleId="66">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67">
    <w:name w:val="Default"/>
    <w:qFormat/>
    <w:uiPriority w:val="0"/>
    <w:pPr>
      <w:autoSpaceDE w:val="0"/>
      <w:autoSpaceDN w:val="0"/>
      <w:adjustRightInd w:val="0"/>
      <w:spacing w:after="0" w:line="240" w:lineRule="auto"/>
    </w:pPr>
    <w:rPr>
      <w:rFonts w:ascii="Calibri" w:hAnsi="Calibri" w:eastAsia="Calibri" w:cs="Calibri"/>
      <w:color w:val="000000"/>
      <w:sz w:val="24"/>
      <w:szCs w:val="24"/>
      <w:lang w:val="es-EC" w:eastAsia="es-EC" w:bidi="ar-SA"/>
    </w:rPr>
  </w:style>
  <w:style w:type="character" w:customStyle="1" w:styleId="68">
    <w:name w:val="Fuente de párrafo predeter.6"/>
    <w:qFormat/>
    <w:uiPriority w:val="0"/>
  </w:style>
  <w:style w:type="character" w:customStyle="1" w:styleId="69">
    <w:name w:val="Ref. de nota al pie1"/>
    <w:qFormat/>
    <w:uiPriority w:val="0"/>
    <w:rPr>
      <w:vertAlign w:val="superscript"/>
    </w:rPr>
  </w:style>
  <w:style w:type="paragraph" w:customStyle="1" w:styleId="70">
    <w:name w:val="p4"/>
    <w:basedOn w:val="1"/>
    <w:qFormat/>
    <w:uiPriority w:val="0"/>
    <w:pPr>
      <w:widowControl w:val="0"/>
      <w:suppressAutoHyphens/>
      <w:spacing w:after="0" w:line="240" w:lineRule="atLeast"/>
      <w:jc w:val="both"/>
    </w:pPr>
    <w:rPr>
      <w:rFonts w:ascii="Courier New" w:hAnsi="Courier New" w:eastAsia="Times New Roman" w:cs="Times New Roman"/>
      <w:sz w:val="20"/>
      <w:szCs w:val="20"/>
      <w:lang w:val="es-ES" w:eastAsia="hi-IN" w:bidi="hi-IN"/>
    </w:rPr>
  </w:style>
  <w:style w:type="paragraph" w:customStyle="1" w:styleId="71">
    <w:name w:val="Texto Artículo"/>
    <w:next w:val="1"/>
    <w:qFormat/>
    <w:uiPriority w:val="0"/>
    <w:pPr>
      <w:suppressAutoHyphens/>
      <w:spacing w:after="0" w:line="240" w:lineRule="auto"/>
      <w:ind w:left="90" w:right="1"/>
      <w:jc w:val="both"/>
    </w:pPr>
    <w:rPr>
      <w:rFonts w:ascii="Verdana" w:hAnsi="Verdana" w:eastAsia="Arial" w:cs="Times New Roman"/>
      <w:color w:val="000000"/>
      <w:sz w:val="20"/>
      <w:szCs w:val="20"/>
      <w:lang w:val="es-ES" w:eastAsia="hi-IN" w:bidi="hi-IN"/>
    </w:rPr>
  </w:style>
  <w:style w:type="paragraph" w:customStyle="1" w:styleId="72">
    <w:name w:val="Style 2"/>
    <w:basedOn w:val="1"/>
    <w:qFormat/>
    <w:uiPriority w:val="0"/>
    <w:pPr>
      <w:widowControl w:val="0"/>
      <w:suppressAutoHyphens/>
      <w:spacing w:after="0" w:line="240" w:lineRule="auto"/>
      <w:ind w:left="288" w:right="72" w:hanging="288"/>
      <w:jc w:val="both"/>
    </w:pPr>
    <w:rPr>
      <w:rFonts w:ascii="Times New Roman" w:hAnsi="Times New Roman" w:eastAsia="Times New Roman" w:cs="Times New Roman"/>
      <w:sz w:val="24"/>
      <w:szCs w:val="20"/>
      <w:lang w:val="en-US" w:eastAsia="hi-IN" w:bidi="hi-IN"/>
    </w:rPr>
  </w:style>
  <w:style w:type="paragraph" w:customStyle="1" w:styleId="73">
    <w:name w:val="Párrafo de lista1"/>
    <w:basedOn w:val="1"/>
    <w:qFormat/>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character" w:customStyle="1" w:styleId="74">
    <w:name w:val="Fuente de párrafo predeter.1"/>
    <w:qFormat/>
    <w:uiPriority w:val="0"/>
  </w:style>
  <w:style w:type="paragraph" w:customStyle="1" w:styleId="75">
    <w:name w:val="Párrafo de lista2"/>
    <w:basedOn w:val="1"/>
    <w:qFormat/>
    <w:uiPriority w:val="0"/>
    <w:pPr>
      <w:suppressAutoHyphens/>
      <w:spacing w:after="0" w:line="240" w:lineRule="auto"/>
      <w:ind w:left="720"/>
    </w:pPr>
    <w:rPr>
      <w:rFonts w:ascii="Times New Roman" w:hAnsi="Times New Roman" w:eastAsia="Lucida Sans Unicode" w:cs="Mangal"/>
      <w:kern w:val="1"/>
      <w:sz w:val="24"/>
      <w:szCs w:val="24"/>
      <w:lang w:eastAsia="hi-IN" w:bidi="hi-IN"/>
    </w:rPr>
  </w:style>
  <w:style w:type="paragraph" w:customStyle="1" w:styleId="76">
    <w:name w:val="western"/>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77">
    <w:name w:val="Revision"/>
    <w:hidden/>
    <w:semiHidden/>
    <w:qFormat/>
    <w:uiPriority w:val="99"/>
    <w:pPr>
      <w:spacing w:after="0" w:line="240" w:lineRule="auto"/>
    </w:pPr>
    <w:rPr>
      <w:rFonts w:ascii="Calibri" w:hAnsi="Calibri" w:eastAsia="Calibri" w:cs="Times New Roman"/>
      <w:sz w:val="22"/>
      <w:szCs w:val="22"/>
      <w:lang w:val="es-EC" w:eastAsia="es-EC" w:bidi="ar-SA"/>
    </w:rPr>
  </w:style>
  <w:style w:type="character" w:customStyle="1" w:styleId="78">
    <w:name w:val="Fuente de párrafo predeter.4"/>
    <w:qFormat/>
    <w:uiPriority w:val="0"/>
  </w:style>
  <w:style w:type="character" w:customStyle="1" w:styleId="79">
    <w:name w:val="Texto sin formato Car"/>
    <w:basedOn w:val="38"/>
    <w:link w:val="36"/>
    <w:semiHidden/>
    <w:qFormat/>
    <w:uiPriority w:val="99"/>
    <w:rPr>
      <w:rFonts w:ascii="Calibri" w:hAnsi="Calibri" w:eastAsia="Calibri" w:cs="Times New Roman"/>
      <w:szCs w:val="21"/>
    </w:rPr>
  </w:style>
  <w:style w:type="paragraph" w:customStyle="1" w:styleId="80">
    <w:name w:val="xl74"/>
    <w:basedOn w:val="1"/>
    <w:qFormat/>
    <w:uiPriority w:val="0"/>
    <w:pPr>
      <w:suppressAutoHyphens/>
      <w:spacing w:before="280" w:after="280" w:line="100" w:lineRule="atLeast"/>
      <w:jc w:val="center"/>
      <w:textAlignment w:val="baseline"/>
    </w:pPr>
    <w:rPr>
      <w:rFonts w:ascii="Arial" w:hAnsi="Arial" w:eastAsia="Arial Unicode MS" w:cs="Calibri"/>
      <w:b/>
      <w:bCs/>
      <w:sz w:val="24"/>
      <w:szCs w:val="24"/>
      <w:lang w:val="es-ES" w:eastAsia="ar-SA"/>
    </w:rPr>
  </w:style>
  <w:style w:type="paragraph" w:customStyle="1" w:styleId="81">
    <w:name w:val="xl25"/>
    <w:basedOn w:val="1"/>
    <w:qFormat/>
    <w:uiPriority w:val="0"/>
    <w:pPr>
      <w:shd w:val="clear" w:color="auto" w:fill="FFFFFF"/>
      <w:suppressAutoHyphens/>
      <w:spacing w:before="280" w:after="280" w:line="240" w:lineRule="auto"/>
    </w:pPr>
    <w:rPr>
      <w:rFonts w:ascii="Arial" w:hAnsi="Arial" w:eastAsia="Times New Roman" w:cs="Times New Roman"/>
      <w:b/>
      <w:sz w:val="24"/>
      <w:szCs w:val="20"/>
      <w:lang w:val="es-ES" w:eastAsia="hi-IN" w:bidi="hi-IN"/>
    </w:rPr>
  </w:style>
  <w:style w:type="character" w:customStyle="1" w:styleId="82">
    <w:name w:val="Texto nota pie Car"/>
    <w:basedOn w:val="38"/>
    <w:link w:val="12"/>
    <w:qFormat/>
    <w:uiPriority w:val="0"/>
    <w:rPr>
      <w:rFonts w:ascii="Calibri" w:hAnsi="Calibri" w:eastAsia="Calibri" w:cs="Times New Roman"/>
      <w:sz w:val="20"/>
      <w:szCs w:val="20"/>
    </w:rPr>
  </w:style>
  <w:style w:type="character" w:customStyle="1" w:styleId="83">
    <w:name w:val="Caracteres de nota al pie"/>
    <w:qFormat/>
    <w:uiPriority w:val="0"/>
    <w:rPr>
      <w:vertAlign w:val="superscript"/>
    </w:rPr>
  </w:style>
  <w:style w:type="paragraph" w:customStyle="1" w:styleId="84">
    <w:name w:val="Standard"/>
    <w:qFormat/>
    <w:uiPriority w:val="0"/>
    <w:pPr>
      <w:tabs>
        <w:tab w:val="left" w:pos="708"/>
      </w:tabs>
      <w:suppressAutoHyphens/>
      <w:autoSpaceDN w:val="0"/>
      <w:spacing w:after="200" w:line="276" w:lineRule="auto"/>
      <w:textAlignment w:val="baseline"/>
    </w:pPr>
    <w:rPr>
      <w:rFonts w:ascii="Times New Roman" w:hAnsi="Times New Roman" w:eastAsia="Times New Roman" w:cs="Calibri"/>
      <w:kern w:val="3"/>
      <w:sz w:val="24"/>
      <w:szCs w:val="24"/>
      <w:lang w:val="es-EC" w:eastAsia="ar-SA" w:bidi="ar-SA"/>
    </w:rPr>
  </w:style>
  <w:style w:type="character" w:customStyle="1" w:styleId="85">
    <w:name w:val="Saludo Car"/>
    <w:basedOn w:val="38"/>
    <w:link w:val="31"/>
    <w:qFormat/>
    <w:uiPriority w:val="99"/>
    <w:rPr>
      <w:rFonts w:ascii="Times New Roman" w:hAnsi="Times New Roman" w:eastAsia="Times New Roman" w:cs="Mangal"/>
      <w:sz w:val="24"/>
      <w:szCs w:val="20"/>
      <w:lang w:eastAsia="hi-IN" w:bidi="hi-IN"/>
    </w:rPr>
  </w:style>
  <w:style w:type="character" w:customStyle="1" w:styleId="86">
    <w:name w:val="Cierre Car"/>
    <w:basedOn w:val="38"/>
    <w:link w:val="18"/>
    <w:qFormat/>
    <w:uiPriority w:val="99"/>
    <w:rPr>
      <w:rFonts w:ascii="Times New Roman" w:hAnsi="Times New Roman" w:eastAsia="Times New Roman" w:cs="Mangal"/>
      <w:sz w:val="24"/>
      <w:szCs w:val="20"/>
      <w:lang w:eastAsia="hi-IN" w:bidi="hi-IN"/>
    </w:rPr>
  </w:style>
  <w:style w:type="character" w:customStyle="1" w:styleId="87">
    <w:name w:val="Texto independiente primera sangría Car"/>
    <w:basedOn w:val="59"/>
    <w:link w:val="34"/>
    <w:qFormat/>
    <w:uiPriority w:val="99"/>
    <w:rPr>
      <w:rFonts w:ascii="Times New Roman" w:hAnsi="Times New Roman" w:eastAsia="Times New Roman" w:cs="Mangal"/>
      <w:spacing w:val="-2"/>
      <w:sz w:val="24"/>
      <w:szCs w:val="20"/>
      <w:u w:val="single"/>
      <w:lang w:eastAsia="hi-IN" w:bidi="hi-IN"/>
    </w:rPr>
  </w:style>
  <w:style w:type="character" w:customStyle="1" w:styleId="88">
    <w:name w:val="Texto independiente primera sangría 2 Car"/>
    <w:basedOn w:val="65"/>
    <w:link w:val="35"/>
    <w:qFormat/>
    <w:uiPriority w:val="99"/>
    <w:rPr>
      <w:rFonts w:ascii="Times New Roman" w:hAnsi="Times New Roman" w:eastAsia="Times New Roman" w:cs="Mangal"/>
      <w:sz w:val="24"/>
      <w:szCs w:val="20"/>
      <w:lang w:eastAsia="hi-IN" w:bidi="hi-IN"/>
    </w:rPr>
  </w:style>
  <w:style w:type="paragraph" w:customStyle="1" w:styleId="89">
    <w:name w:val="sdfootnote"/>
    <w:basedOn w:val="1"/>
    <w:qFormat/>
    <w:uiPriority w:val="0"/>
    <w:pPr>
      <w:suppressAutoHyphens/>
      <w:spacing w:before="100" w:beforeAutospacing="1" w:after="0" w:line="240" w:lineRule="auto"/>
      <w:ind w:left="284" w:hanging="284"/>
    </w:pPr>
    <w:rPr>
      <w:rFonts w:ascii="Times New Roman" w:hAnsi="Times New Roman" w:eastAsia="Times New Roman" w:cs="Times New Roman"/>
      <w:sz w:val="20"/>
      <w:szCs w:val="20"/>
      <w:lang w:bidi="hi-IN"/>
    </w:rPr>
  </w:style>
  <w:style w:type="paragraph" w:customStyle="1" w:styleId="90">
    <w:name w:val="western1"/>
    <w:basedOn w:val="1"/>
    <w:qFormat/>
    <w:uiPriority w:val="0"/>
    <w:pPr>
      <w:suppressAutoHyphens/>
      <w:spacing w:before="100" w:beforeAutospacing="1" w:after="0" w:line="240" w:lineRule="auto"/>
      <w:jc w:val="both"/>
    </w:pPr>
    <w:rPr>
      <w:rFonts w:ascii="Arial" w:hAnsi="Arial" w:eastAsia="Times New Roman" w:cs="Arial"/>
      <w:sz w:val="24"/>
      <w:szCs w:val="20"/>
      <w:u w:val="single"/>
      <w:lang w:bidi="hi-IN"/>
    </w:rPr>
  </w:style>
  <w:style w:type="character" w:customStyle="1" w:styleId="91">
    <w:name w:val="WW8Num7z0"/>
    <w:qFormat/>
    <w:uiPriority w:val="0"/>
    <w:rPr>
      <w:rFonts w:ascii="Wingdings" w:hAnsi="Wingdings"/>
    </w:rPr>
  </w:style>
  <w:style w:type="character" w:customStyle="1" w:styleId="92">
    <w:name w:val="WW8Num10z0"/>
    <w:qFormat/>
    <w:uiPriority w:val="0"/>
    <w:rPr>
      <w:rFonts w:ascii="Wingdings" w:hAnsi="Wingdings"/>
    </w:rPr>
  </w:style>
  <w:style w:type="character" w:customStyle="1" w:styleId="93">
    <w:name w:val="WW8Num36z0"/>
    <w:qFormat/>
    <w:uiPriority w:val="0"/>
    <w:rPr>
      <w:rFonts w:ascii="Bookman Old Style" w:hAnsi="Bookman Old Style"/>
    </w:rPr>
  </w:style>
  <w:style w:type="character" w:customStyle="1" w:styleId="94">
    <w:name w:val="WW8Num36z1"/>
    <w:qFormat/>
    <w:uiPriority w:val="0"/>
    <w:rPr>
      <w:rFonts w:ascii="Courier New" w:hAnsi="Courier New"/>
    </w:rPr>
  </w:style>
  <w:style w:type="character" w:customStyle="1" w:styleId="95">
    <w:name w:val="WW8Num37z0"/>
    <w:qFormat/>
    <w:uiPriority w:val="0"/>
    <w:rPr>
      <w:rFonts w:ascii="Wingdings" w:hAnsi="Wingdings"/>
    </w:rPr>
  </w:style>
  <w:style w:type="character" w:customStyle="1" w:styleId="96">
    <w:name w:val="WW8Num37z1"/>
    <w:qFormat/>
    <w:uiPriority w:val="0"/>
    <w:rPr>
      <w:rFonts w:ascii="Courier New" w:hAnsi="Courier New"/>
    </w:rPr>
  </w:style>
  <w:style w:type="character" w:customStyle="1" w:styleId="97">
    <w:name w:val="WW8Num38z0"/>
    <w:qFormat/>
    <w:uiPriority w:val="0"/>
    <w:rPr>
      <w:rFonts w:ascii="Wingdings" w:hAnsi="Wingdings"/>
    </w:rPr>
  </w:style>
  <w:style w:type="character" w:customStyle="1" w:styleId="98">
    <w:name w:val="WW8Num38z1"/>
    <w:qFormat/>
    <w:uiPriority w:val="0"/>
    <w:rPr>
      <w:rFonts w:ascii="Courier New" w:hAnsi="Courier New"/>
    </w:rPr>
  </w:style>
  <w:style w:type="character" w:customStyle="1" w:styleId="99">
    <w:name w:val="WW8Num39z0"/>
    <w:qFormat/>
    <w:uiPriority w:val="0"/>
    <w:rPr>
      <w:rFonts w:ascii="Wingdings" w:hAnsi="Wingdings"/>
    </w:rPr>
  </w:style>
  <w:style w:type="character" w:customStyle="1" w:styleId="100">
    <w:name w:val="WW8Num39z1"/>
    <w:qFormat/>
    <w:uiPriority w:val="0"/>
    <w:rPr>
      <w:rFonts w:ascii="Courier New" w:hAnsi="Courier New"/>
    </w:rPr>
  </w:style>
  <w:style w:type="character" w:customStyle="1" w:styleId="101">
    <w:name w:val="Absatz-Standardschriftart"/>
    <w:qFormat/>
    <w:uiPriority w:val="0"/>
  </w:style>
  <w:style w:type="character" w:customStyle="1" w:styleId="102">
    <w:name w:val="WW-Absatz-Standardschriftart"/>
    <w:qFormat/>
    <w:uiPriority w:val="0"/>
  </w:style>
  <w:style w:type="character" w:customStyle="1" w:styleId="103">
    <w:name w:val="WW-Absatz-Standardschriftart1"/>
    <w:qFormat/>
    <w:uiPriority w:val="0"/>
  </w:style>
  <w:style w:type="character" w:customStyle="1" w:styleId="104">
    <w:name w:val="WW8Num40z0"/>
    <w:qFormat/>
    <w:uiPriority w:val="0"/>
    <w:rPr>
      <w:rFonts w:ascii="Wingdings" w:hAnsi="Wingdings"/>
    </w:rPr>
  </w:style>
  <w:style w:type="character" w:customStyle="1" w:styleId="105">
    <w:name w:val="WW8Num40z1"/>
    <w:qFormat/>
    <w:uiPriority w:val="0"/>
    <w:rPr>
      <w:rFonts w:ascii="Courier New" w:hAnsi="Courier New"/>
    </w:rPr>
  </w:style>
  <w:style w:type="character" w:customStyle="1" w:styleId="106">
    <w:name w:val="WW-Absatz-Standardschriftart11"/>
    <w:qFormat/>
    <w:uiPriority w:val="0"/>
  </w:style>
  <w:style w:type="character" w:customStyle="1" w:styleId="107">
    <w:name w:val="WW-Absatz-Standardschriftart111"/>
    <w:qFormat/>
    <w:uiPriority w:val="0"/>
  </w:style>
  <w:style w:type="character" w:customStyle="1" w:styleId="108">
    <w:name w:val="WW-Absatz-Standardschriftart1111"/>
    <w:qFormat/>
    <w:uiPriority w:val="0"/>
  </w:style>
  <w:style w:type="character" w:customStyle="1" w:styleId="109">
    <w:name w:val="WW-Absatz-Standardschriftart11111"/>
    <w:qFormat/>
    <w:uiPriority w:val="0"/>
  </w:style>
  <w:style w:type="character" w:customStyle="1" w:styleId="110">
    <w:name w:val="WW-Absatz-Standardschriftart111111"/>
    <w:qFormat/>
    <w:uiPriority w:val="0"/>
  </w:style>
  <w:style w:type="character" w:customStyle="1" w:styleId="111">
    <w:name w:val="WW-Absatz-Standardschriftart1111111"/>
    <w:qFormat/>
    <w:uiPriority w:val="0"/>
  </w:style>
  <w:style w:type="character" w:customStyle="1" w:styleId="112">
    <w:name w:val="WW-Absatz-Standardschriftart11111111"/>
    <w:qFormat/>
    <w:uiPriority w:val="0"/>
  </w:style>
  <w:style w:type="character" w:customStyle="1" w:styleId="113">
    <w:name w:val="WW-Absatz-Standardschriftart111111111"/>
    <w:qFormat/>
    <w:uiPriority w:val="0"/>
  </w:style>
  <w:style w:type="character" w:customStyle="1" w:styleId="114">
    <w:name w:val="WW-Absatz-Standardschriftart1111111111"/>
    <w:qFormat/>
    <w:uiPriority w:val="0"/>
  </w:style>
  <w:style w:type="character" w:customStyle="1" w:styleId="115">
    <w:name w:val="WW-Absatz-Standardschriftart11111111111"/>
    <w:qFormat/>
    <w:uiPriority w:val="0"/>
  </w:style>
  <w:style w:type="character" w:customStyle="1" w:styleId="116">
    <w:name w:val="WW-Absatz-Standardschriftart111111111111"/>
    <w:qFormat/>
    <w:uiPriority w:val="0"/>
  </w:style>
  <w:style w:type="character" w:customStyle="1" w:styleId="117">
    <w:name w:val="WW-Absatz-Standardschriftart1111111111111"/>
    <w:qFormat/>
    <w:uiPriority w:val="0"/>
  </w:style>
  <w:style w:type="character" w:customStyle="1" w:styleId="118">
    <w:name w:val="WW8Num3z0"/>
    <w:qFormat/>
    <w:uiPriority w:val="0"/>
    <w:rPr>
      <w:rFonts w:ascii="Symbol" w:hAnsi="Symbol"/>
    </w:rPr>
  </w:style>
  <w:style w:type="character" w:customStyle="1" w:styleId="119">
    <w:name w:val="WW8Num4z0"/>
    <w:qFormat/>
    <w:uiPriority w:val="0"/>
    <w:rPr>
      <w:rFonts w:ascii="Wingdings" w:hAnsi="Wingdings"/>
    </w:rPr>
  </w:style>
  <w:style w:type="character" w:customStyle="1" w:styleId="120">
    <w:name w:val="WW8Num5z0"/>
    <w:qFormat/>
    <w:uiPriority w:val="0"/>
    <w:rPr>
      <w:rFonts w:ascii="Times New Roman" w:hAnsi="Times New Roman"/>
    </w:rPr>
  </w:style>
  <w:style w:type="character" w:customStyle="1" w:styleId="121">
    <w:name w:val="WW8Num11z0"/>
    <w:qFormat/>
    <w:uiPriority w:val="0"/>
    <w:rPr>
      <w:rFonts w:ascii="Wingdings" w:hAnsi="Wingdings"/>
    </w:rPr>
  </w:style>
  <w:style w:type="character" w:customStyle="1" w:styleId="122">
    <w:name w:val="WW8Num12z0"/>
    <w:qFormat/>
    <w:uiPriority w:val="0"/>
    <w:rPr>
      <w:rFonts w:ascii="Symbol" w:hAnsi="Symbol"/>
    </w:rPr>
  </w:style>
  <w:style w:type="character" w:customStyle="1" w:styleId="123">
    <w:name w:val="WW8Num13z0"/>
    <w:qFormat/>
    <w:uiPriority w:val="0"/>
    <w:rPr>
      <w:rFonts w:ascii="Bookman Old Style" w:hAnsi="Bookman Old Style"/>
    </w:rPr>
  </w:style>
  <w:style w:type="character" w:customStyle="1" w:styleId="124">
    <w:name w:val="WW8Num16z0"/>
    <w:qFormat/>
    <w:uiPriority w:val="0"/>
    <w:rPr>
      <w:rFonts w:ascii="Symbol" w:hAnsi="Symbol"/>
    </w:rPr>
  </w:style>
  <w:style w:type="character" w:customStyle="1" w:styleId="125">
    <w:name w:val="WW8Num26z0"/>
    <w:qFormat/>
    <w:uiPriority w:val="0"/>
    <w:rPr>
      <w:rFonts w:ascii="Symbol" w:hAnsi="Symbol"/>
      <w:b/>
    </w:rPr>
  </w:style>
  <w:style w:type="character" w:customStyle="1" w:styleId="126">
    <w:name w:val="WW8Num30z0"/>
    <w:qFormat/>
    <w:uiPriority w:val="0"/>
    <w:rPr>
      <w:b/>
    </w:rPr>
  </w:style>
  <w:style w:type="character" w:customStyle="1" w:styleId="127">
    <w:name w:val="WW8Num32z0"/>
    <w:qFormat/>
    <w:uiPriority w:val="0"/>
    <w:rPr>
      <w:rFonts w:ascii="Wingdings" w:hAnsi="Wingdings"/>
    </w:rPr>
  </w:style>
  <w:style w:type="character" w:customStyle="1" w:styleId="128">
    <w:name w:val="WW8Num44z0"/>
    <w:qFormat/>
    <w:uiPriority w:val="0"/>
    <w:rPr>
      <w:rFonts w:ascii="Wingdings" w:hAnsi="Wingdings"/>
    </w:rPr>
  </w:style>
  <w:style w:type="character" w:customStyle="1" w:styleId="129">
    <w:name w:val="WW8Num55z0"/>
    <w:qFormat/>
    <w:uiPriority w:val="0"/>
    <w:rPr>
      <w:rFonts w:ascii="Symbol" w:hAnsi="Symbol"/>
    </w:rPr>
  </w:style>
  <w:style w:type="character" w:customStyle="1" w:styleId="130">
    <w:name w:val="WW8Num55z1"/>
    <w:qFormat/>
    <w:uiPriority w:val="0"/>
    <w:rPr>
      <w:rFonts w:ascii="OpenSymbol" w:hAnsi="OpenSymbol"/>
    </w:rPr>
  </w:style>
  <w:style w:type="character" w:customStyle="1" w:styleId="131">
    <w:name w:val="WW8Num56z0"/>
    <w:qFormat/>
    <w:uiPriority w:val="0"/>
    <w:rPr>
      <w:rFonts w:ascii="Symbol" w:hAnsi="Symbol"/>
    </w:rPr>
  </w:style>
  <w:style w:type="character" w:customStyle="1" w:styleId="132">
    <w:name w:val="WW8Num56z1"/>
    <w:qFormat/>
    <w:uiPriority w:val="0"/>
    <w:rPr>
      <w:rFonts w:ascii="OpenSymbol" w:hAnsi="OpenSymbol"/>
    </w:rPr>
  </w:style>
  <w:style w:type="character" w:customStyle="1" w:styleId="133">
    <w:name w:val="WW8Num57z0"/>
    <w:qFormat/>
    <w:uiPriority w:val="0"/>
    <w:rPr>
      <w:rFonts w:ascii="Symbol" w:hAnsi="Symbol"/>
    </w:rPr>
  </w:style>
  <w:style w:type="character" w:customStyle="1" w:styleId="134">
    <w:name w:val="WW8Num57z1"/>
    <w:qFormat/>
    <w:uiPriority w:val="0"/>
    <w:rPr>
      <w:rFonts w:ascii="OpenSymbol" w:hAnsi="OpenSymbol"/>
    </w:rPr>
  </w:style>
  <w:style w:type="character" w:customStyle="1" w:styleId="135">
    <w:name w:val="WW-Absatz-Standardschriftart11111111111111"/>
    <w:qFormat/>
    <w:uiPriority w:val="0"/>
  </w:style>
  <w:style w:type="character" w:customStyle="1" w:styleId="136">
    <w:name w:val="WW8Num45z0"/>
    <w:qFormat/>
    <w:uiPriority w:val="0"/>
    <w:rPr>
      <w:rFonts w:ascii="Symbol" w:hAnsi="Symbol"/>
    </w:rPr>
  </w:style>
  <w:style w:type="character" w:customStyle="1" w:styleId="137">
    <w:name w:val="WW8Num58z0"/>
    <w:qFormat/>
    <w:uiPriority w:val="0"/>
    <w:rPr>
      <w:rFonts w:ascii="Symbol" w:hAnsi="Symbol"/>
    </w:rPr>
  </w:style>
  <w:style w:type="character" w:customStyle="1" w:styleId="138">
    <w:name w:val="WW8Num58z1"/>
    <w:qFormat/>
    <w:uiPriority w:val="0"/>
    <w:rPr>
      <w:rFonts w:ascii="OpenSymbol" w:hAnsi="OpenSymbol"/>
    </w:rPr>
  </w:style>
  <w:style w:type="character" w:customStyle="1" w:styleId="139">
    <w:name w:val="WW-Absatz-Standardschriftart111111111111111"/>
    <w:qFormat/>
    <w:uiPriority w:val="0"/>
  </w:style>
  <w:style w:type="character" w:customStyle="1" w:styleId="140">
    <w:name w:val="WW-Absatz-Standardschriftart1111111111111111"/>
    <w:qFormat/>
    <w:uiPriority w:val="0"/>
  </w:style>
  <w:style w:type="character" w:customStyle="1" w:styleId="141">
    <w:name w:val="WW-Absatz-Standardschriftart11111111111111111"/>
    <w:qFormat/>
    <w:uiPriority w:val="0"/>
  </w:style>
  <w:style w:type="character" w:customStyle="1" w:styleId="142">
    <w:name w:val="WW-Absatz-Standardschriftart111111111111111111"/>
    <w:qFormat/>
    <w:uiPriority w:val="0"/>
  </w:style>
  <w:style w:type="character" w:customStyle="1" w:styleId="143">
    <w:name w:val="WW-Absatz-Standardschriftart1111111111111111111"/>
    <w:qFormat/>
    <w:uiPriority w:val="0"/>
  </w:style>
  <w:style w:type="character" w:customStyle="1" w:styleId="144">
    <w:name w:val="WW-Absatz-Standardschriftart11111111111111111111"/>
    <w:qFormat/>
    <w:uiPriority w:val="0"/>
  </w:style>
  <w:style w:type="character" w:customStyle="1" w:styleId="145">
    <w:name w:val="WW-Absatz-Standardschriftart111111111111111111111"/>
    <w:qFormat/>
    <w:uiPriority w:val="0"/>
  </w:style>
  <w:style w:type="character" w:customStyle="1" w:styleId="146">
    <w:name w:val="WW8Num14z0"/>
    <w:qFormat/>
    <w:uiPriority w:val="0"/>
    <w:rPr>
      <w:rFonts w:ascii="Symbol" w:hAnsi="Symbol"/>
    </w:rPr>
  </w:style>
  <w:style w:type="character" w:customStyle="1" w:styleId="147">
    <w:name w:val="WW8Num15z0"/>
    <w:qFormat/>
    <w:uiPriority w:val="0"/>
    <w:rPr>
      <w:b/>
    </w:rPr>
  </w:style>
  <w:style w:type="character" w:customStyle="1" w:styleId="148">
    <w:name w:val="WW8Num17z0"/>
    <w:qFormat/>
    <w:uiPriority w:val="0"/>
    <w:rPr>
      <w:rFonts w:ascii="Wingdings" w:hAnsi="Wingdings"/>
    </w:rPr>
  </w:style>
  <w:style w:type="character" w:customStyle="1" w:styleId="149">
    <w:name w:val="WW8Num20z0"/>
    <w:qFormat/>
    <w:uiPriority w:val="0"/>
    <w:rPr>
      <w:rFonts w:ascii="Wingdings" w:hAnsi="Wingdings"/>
    </w:rPr>
  </w:style>
  <w:style w:type="character" w:customStyle="1" w:styleId="150">
    <w:name w:val="WW8Num34z0"/>
    <w:qFormat/>
    <w:uiPriority w:val="0"/>
    <w:rPr>
      <w:rFonts w:ascii="Symbol" w:hAnsi="Symbol"/>
    </w:rPr>
  </w:style>
  <w:style w:type="character" w:customStyle="1" w:styleId="151">
    <w:name w:val="WW8Num49z0"/>
    <w:qFormat/>
    <w:uiPriority w:val="0"/>
    <w:rPr>
      <w:rFonts w:ascii="Symbol" w:hAnsi="Symbol"/>
    </w:rPr>
  </w:style>
  <w:style w:type="character" w:customStyle="1" w:styleId="152">
    <w:name w:val="WW-Absatz-Standardschriftart1111111111111111111111"/>
    <w:qFormat/>
    <w:uiPriority w:val="0"/>
  </w:style>
  <w:style w:type="character" w:customStyle="1" w:styleId="153">
    <w:name w:val="WW8Num9z0"/>
    <w:qFormat/>
    <w:uiPriority w:val="0"/>
    <w:rPr>
      <w:rFonts w:ascii="Symbol" w:hAnsi="Symbol"/>
    </w:rPr>
  </w:style>
  <w:style w:type="character" w:customStyle="1" w:styleId="154">
    <w:name w:val="WW8Num18z0"/>
    <w:qFormat/>
    <w:uiPriority w:val="0"/>
    <w:rPr>
      <w:rFonts w:ascii="Symbol" w:hAnsi="Symbol"/>
    </w:rPr>
  </w:style>
  <w:style w:type="character" w:customStyle="1" w:styleId="155">
    <w:name w:val="WW8Num19z0"/>
    <w:qFormat/>
    <w:uiPriority w:val="0"/>
    <w:rPr>
      <w:rFonts w:ascii="Symbol" w:hAnsi="Symbol"/>
    </w:rPr>
  </w:style>
  <w:style w:type="character" w:customStyle="1" w:styleId="156">
    <w:name w:val="WW8Num22z0"/>
    <w:qFormat/>
    <w:uiPriority w:val="0"/>
    <w:rPr>
      <w:rFonts w:ascii="Wingdings" w:hAnsi="Wingdings"/>
    </w:rPr>
  </w:style>
  <w:style w:type="character" w:customStyle="1" w:styleId="157">
    <w:name w:val="WW8Num51z0"/>
    <w:qFormat/>
    <w:uiPriority w:val="0"/>
    <w:rPr>
      <w:rFonts w:ascii="Symbol" w:hAnsi="Symbol"/>
    </w:rPr>
  </w:style>
  <w:style w:type="character" w:customStyle="1" w:styleId="158">
    <w:name w:val="WW-Absatz-Standardschriftart11111111111111111111111"/>
    <w:qFormat/>
    <w:uiPriority w:val="0"/>
  </w:style>
  <w:style w:type="character" w:customStyle="1" w:styleId="159">
    <w:name w:val="WW8Num33z0"/>
    <w:qFormat/>
    <w:uiPriority w:val="0"/>
    <w:rPr>
      <w:rFonts w:ascii="Wingdings" w:hAnsi="Wingdings"/>
    </w:rPr>
  </w:style>
  <w:style w:type="character" w:customStyle="1" w:styleId="160">
    <w:name w:val="WW8Num52z0"/>
    <w:qFormat/>
    <w:uiPriority w:val="0"/>
    <w:rPr>
      <w:rFonts w:ascii="Symbol" w:hAnsi="Symbol"/>
    </w:rPr>
  </w:style>
  <w:style w:type="character" w:customStyle="1" w:styleId="161">
    <w:name w:val="WW-Absatz-Standardschriftart111111111111111111111111"/>
    <w:qFormat/>
    <w:uiPriority w:val="0"/>
  </w:style>
  <w:style w:type="character" w:customStyle="1" w:styleId="162">
    <w:name w:val="WW-Absatz-Standardschriftart1111111111111111111111111"/>
    <w:qFormat/>
    <w:uiPriority w:val="0"/>
  </w:style>
  <w:style w:type="character" w:customStyle="1" w:styleId="163">
    <w:name w:val="WW-Absatz-Standardschriftart11111111111111111111111111"/>
    <w:qFormat/>
    <w:uiPriority w:val="0"/>
  </w:style>
  <w:style w:type="character" w:customStyle="1" w:styleId="164">
    <w:name w:val="WW-Absatz-Standardschriftart111111111111111111111111111"/>
    <w:qFormat/>
    <w:uiPriority w:val="0"/>
  </w:style>
  <w:style w:type="character" w:customStyle="1" w:styleId="165">
    <w:name w:val="WW-Absatz-Standardschriftart1111111111111111111111111111"/>
    <w:qFormat/>
    <w:uiPriority w:val="0"/>
  </w:style>
  <w:style w:type="character" w:customStyle="1" w:styleId="166">
    <w:name w:val="WW8Num21z0"/>
    <w:qFormat/>
    <w:uiPriority w:val="0"/>
    <w:rPr>
      <w:rFonts w:ascii="Bookman Old Style" w:hAnsi="Bookman Old Style"/>
    </w:rPr>
  </w:style>
  <w:style w:type="character" w:customStyle="1" w:styleId="167">
    <w:name w:val="WW8Num23z0"/>
    <w:qFormat/>
    <w:uiPriority w:val="0"/>
    <w:rPr>
      <w:rFonts w:ascii="Wingdings" w:hAnsi="Wingdings"/>
      <w:sz w:val="20"/>
    </w:rPr>
  </w:style>
  <w:style w:type="character" w:customStyle="1" w:styleId="168">
    <w:name w:val="WW8Num24z0"/>
    <w:qFormat/>
    <w:uiPriority w:val="0"/>
    <w:rPr>
      <w:rFonts w:ascii="Wingdings" w:hAnsi="Wingdings"/>
      <w:sz w:val="20"/>
    </w:rPr>
  </w:style>
  <w:style w:type="character" w:customStyle="1" w:styleId="169">
    <w:name w:val="WW8Num27z0"/>
    <w:qFormat/>
    <w:uiPriority w:val="0"/>
    <w:rPr>
      <w:rFonts w:ascii="Wingdings" w:hAnsi="Wingdings"/>
    </w:rPr>
  </w:style>
  <w:style w:type="character" w:customStyle="1" w:styleId="170">
    <w:name w:val="WW8Num43z0"/>
    <w:qFormat/>
    <w:uiPriority w:val="0"/>
    <w:rPr>
      <w:rFonts w:ascii="Wingdings" w:hAnsi="Wingdings"/>
    </w:rPr>
  </w:style>
  <w:style w:type="character" w:customStyle="1" w:styleId="171">
    <w:name w:val="WW8Num64z0"/>
    <w:qFormat/>
    <w:uiPriority w:val="0"/>
    <w:rPr>
      <w:rFonts w:ascii="Symbol" w:hAnsi="Symbol"/>
    </w:rPr>
  </w:style>
  <w:style w:type="character" w:customStyle="1" w:styleId="172">
    <w:name w:val="WW8Num66z0"/>
    <w:qFormat/>
    <w:uiPriority w:val="0"/>
    <w:rPr>
      <w:rFonts w:ascii="Symbol" w:hAnsi="Symbol"/>
    </w:rPr>
  </w:style>
  <w:style w:type="character" w:customStyle="1" w:styleId="173">
    <w:name w:val="WW8Num79z0"/>
    <w:qFormat/>
    <w:uiPriority w:val="0"/>
    <w:rPr>
      <w:rFonts w:ascii="Symbol" w:hAnsi="Symbol"/>
    </w:rPr>
  </w:style>
  <w:style w:type="character" w:customStyle="1" w:styleId="174">
    <w:name w:val="WW-Absatz-Standardschriftart11111111111111111111111111111"/>
    <w:qFormat/>
    <w:uiPriority w:val="0"/>
  </w:style>
  <w:style w:type="character" w:customStyle="1" w:styleId="175">
    <w:name w:val="WW-Absatz-Standardschriftart111111111111111111111111111111"/>
    <w:qFormat/>
    <w:uiPriority w:val="0"/>
  </w:style>
  <w:style w:type="character" w:customStyle="1" w:styleId="176">
    <w:name w:val="WW8Num6z0"/>
    <w:qFormat/>
    <w:uiPriority w:val="0"/>
    <w:rPr>
      <w:rFonts w:ascii="Wingdings" w:hAnsi="Wingdings"/>
    </w:rPr>
  </w:style>
  <w:style w:type="character" w:customStyle="1" w:styleId="177">
    <w:name w:val="WW8Num25z0"/>
    <w:qFormat/>
    <w:uiPriority w:val="0"/>
    <w:rPr>
      <w:rFonts w:ascii="Symbol" w:hAnsi="Symbol"/>
    </w:rPr>
  </w:style>
  <w:style w:type="character" w:customStyle="1" w:styleId="178">
    <w:name w:val="WW8Num28z0"/>
    <w:qFormat/>
    <w:uiPriority w:val="0"/>
    <w:rPr>
      <w:rFonts w:ascii="Symbol" w:hAnsi="Symbol"/>
    </w:rPr>
  </w:style>
  <w:style w:type="character" w:customStyle="1" w:styleId="179">
    <w:name w:val="WW8Num65z0"/>
    <w:qFormat/>
    <w:uiPriority w:val="0"/>
    <w:rPr>
      <w:rFonts w:ascii="Symbol" w:hAnsi="Symbol"/>
    </w:rPr>
  </w:style>
  <w:style w:type="character" w:customStyle="1" w:styleId="180">
    <w:name w:val="WW8Num67z0"/>
    <w:qFormat/>
    <w:uiPriority w:val="0"/>
    <w:rPr>
      <w:rFonts w:ascii="Symbol" w:hAnsi="Symbol"/>
    </w:rPr>
  </w:style>
  <w:style w:type="character" w:customStyle="1" w:styleId="181">
    <w:name w:val="WW8Num80z0"/>
    <w:qFormat/>
    <w:uiPriority w:val="0"/>
    <w:rPr>
      <w:rFonts w:ascii="Symbol" w:hAnsi="Symbol"/>
    </w:rPr>
  </w:style>
  <w:style w:type="character" w:customStyle="1" w:styleId="182">
    <w:name w:val="WW-Absatz-Standardschriftart1111111111111111111111111111111"/>
    <w:qFormat/>
    <w:uiPriority w:val="0"/>
  </w:style>
  <w:style w:type="character" w:customStyle="1" w:styleId="183">
    <w:name w:val="WW-Absatz-Standardschriftart11111111111111111111111111111111"/>
    <w:qFormat/>
    <w:uiPriority w:val="0"/>
  </w:style>
  <w:style w:type="character" w:customStyle="1" w:styleId="184">
    <w:name w:val="WW-Absatz-Standardschriftart111111111111111111111111111111111"/>
    <w:qFormat/>
    <w:uiPriority w:val="0"/>
  </w:style>
  <w:style w:type="character" w:customStyle="1" w:styleId="185">
    <w:name w:val="WW-Absatz-Standardschriftart1111111111111111111111111111111111"/>
    <w:qFormat/>
    <w:uiPriority w:val="0"/>
  </w:style>
  <w:style w:type="character" w:customStyle="1" w:styleId="186">
    <w:name w:val="WW-Absatz-Standardschriftart11111111111111111111111111111111111"/>
    <w:qFormat/>
    <w:uiPriority w:val="0"/>
  </w:style>
  <w:style w:type="character" w:customStyle="1" w:styleId="187">
    <w:name w:val="WW-Absatz-Standardschriftart111111111111111111111111111111111111"/>
    <w:qFormat/>
    <w:uiPriority w:val="0"/>
  </w:style>
  <w:style w:type="character" w:customStyle="1" w:styleId="188">
    <w:name w:val="WW8Num14z1"/>
    <w:qFormat/>
    <w:uiPriority w:val="0"/>
    <w:rPr>
      <w:rFonts w:ascii="Courier New" w:hAnsi="Courier New"/>
    </w:rPr>
  </w:style>
  <w:style w:type="character" w:customStyle="1" w:styleId="189">
    <w:name w:val="WW8Num15z1"/>
    <w:qFormat/>
    <w:uiPriority w:val="0"/>
    <w:rPr>
      <w:rFonts w:ascii="OpenSymbol" w:hAnsi="OpenSymbol"/>
    </w:rPr>
  </w:style>
  <w:style w:type="character" w:customStyle="1" w:styleId="190">
    <w:name w:val="WW8Num16z1"/>
    <w:qFormat/>
    <w:uiPriority w:val="0"/>
    <w:rPr>
      <w:rFonts w:ascii="Courier New" w:hAnsi="Courier New"/>
    </w:rPr>
  </w:style>
  <w:style w:type="character" w:customStyle="1" w:styleId="191">
    <w:name w:val="WW8Num17z1"/>
    <w:qFormat/>
    <w:uiPriority w:val="0"/>
    <w:rPr>
      <w:rFonts w:ascii="Courier New" w:hAnsi="Courier New"/>
    </w:rPr>
  </w:style>
  <w:style w:type="character" w:customStyle="1" w:styleId="192">
    <w:name w:val="WW8Num18z1"/>
    <w:qFormat/>
    <w:uiPriority w:val="0"/>
    <w:rPr>
      <w:rFonts w:ascii="OpenSymbol" w:hAnsi="OpenSymbol"/>
    </w:rPr>
  </w:style>
  <w:style w:type="character" w:customStyle="1" w:styleId="193">
    <w:name w:val="WW8Num19z1"/>
    <w:qFormat/>
    <w:uiPriority w:val="0"/>
    <w:rPr>
      <w:rFonts w:ascii="Courier New" w:hAnsi="Courier New"/>
    </w:rPr>
  </w:style>
  <w:style w:type="character" w:customStyle="1" w:styleId="194">
    <w:name w:val="WW8Num21z1"/>
    <w:qFormat/>
    <w:uiPriority w:val="0"/>
    <w:rPr>
      <w:rFonts w:ascii="OpenSymbol" w:hAnsi="OpenSymbol"/>
    </w:rPr>
  </w:style>
  <w:style w:type="character" w:customStyle="1" w:styleId="195">
    <w:name w:val="WW-Absatz-Standardschriftart1111111111111111111111111111111111111"/>
    <w:qFormat/>
    <w:uiPriority w:val="0"/>
  </w:style>
  <w:style w:type="character" w:customStyle="1" w:styleId="196">
    <w:name w:val="WW-Absatz-Standardschriftart11111111111111111111111111111111111111"/>
    <w:qFormat/>
    <w:uiPriority w:val="0"/>
  </w:style>
  <w:style w:type="character" w:customStyle="1" w:styleId="197">
    <w:name w:val="WW-Absatz-Standardschriftart111111111111111111111111111111111111111"/>
    <w:qFormat/>
    <w:uiPriority w:val="0"/>
  </w:style>
  <w:style w:type="character" w:customStyle="1" w:styleId="198">
    <w:name w:val="WW-Absatz-Standardschriftart1111111111111111111111111111111111111111"/>
    <w:qFormat/>
    <w:uiPriority w:val="0"/>
  </w:style>
  <w:style w:type="character" w:customStyle="1" w:styleId="199">
    <w:name w:val="WW-Absatz-Standardschriftart11111111111111111111111111111111111111111"/>
    <w:qFormat/>
    <w:uiPriority w:val="0"/>
  </w:style>
  <w:style w:type="character" w:customStyle="1" w:styleId="200">
    <w:name w:val="WW8Num8z0"/>
    <w:qFormat/>
    <w:uiPriority w:val="0"/>
    <w:rPr>
      <w:rFonts w:ascii="Symbol" w:hAnsi="Symbol"/>
    </w:rPr>
  </w:style>
  <w:style w:type="character" w:customStyle="1" w:styleId="201">
    <w:name w:val="WW8Num11z1"/>
    <w:qFormat/>
    <w:uiPriority w:val="0"/>
    <w:rPr>
      <w:rFonts w:ascii="Courier New" w:hAnsi="Courier New"/>
    </w:rPr>
  </w:style>
  <w:style w:type="character" w:customStyle="1" w:styleId="202">
    <w:name w:val="WW-Absatz-Standardschriftart111111111111111111111111111111111111111111"/>
    <w:qFormat/>
    <w:uiPriority w:val="0"/>
  </w:style>
  <w:style w:type="character" w:customStyle="1" w:styleId="203">
    <w:name w:val="WW8Num12z1"/>
    <w:qFormat/>
    <w:uiPriority w:val="0"/>
    <w:rPr>
      <w:rFonts w:ascii="Courier New" w:hAnsi="Courier New"/>
    </w:rPr>
  </w:style>
  <w:style w:type="character" w:customStyle="1" w:styleId="204">
    <w:name w:val="Fuente de párrafo predeter.5"/>
    <w:qFormat/>
    <w:uiPriority w:val="0"/>
  </w:style>
  <w:style w:type="character" w:customStyle="1" w:styleId="205">
    <w:name w:val="WW-Absatz-Standardschriftart1111111111111111111111111111111111111111111"/>
    <w:qFormat/>
    <w:uiPriority w:val="0"/>
  </w:style>
  <w:style w:type="character" w:customStyle="1" w:styleId="206">
    <w:name w:val="WW8Num13z1"/>
    <w:qFormat/>
    <w:uiPriority w:val="0"/>
    <w:rPr>
      <w:rFonts w:ascii="OpenSymbol" w:hAnsi="OpenSymbol"/>
    </w:rPr>
  </w:style>
  <w:style w:type="character" w:customStyle="1" w:styleId="207">
    <w:name w:val="WW-Absatz-Standardschriftart11111111111111111111111111111111111111111111"/>
    <w:qFormat/>
    <w:uiPriority w:val="0"/>
  </w:style>
  <w:style w:type="character" w:customStyle="1" w:styleId="208">
    <w:name w:val="Fuente de párrafo predeter.3"/>
    <w:qFormat/>
    <w:uiPriority w:val="0"/>
  </w:style>
  <w:style w:type="character" w:customStyle="1" w:styleId="209">
    <w:name w:val="WW-Absatz-Standardschriftart111111111111111111111111111111111111111111111"/>
    <w:qFormat/>
    <w:uiPriority w:val="0"/>
  </w:style>
  <w:style w:type="character" w:customStyle="1" w:styleId="210">
    <w:name w:val="WW-Absatz-Standardschriftart1111111111111111111111111111111111111111111111"/>
    <w:qFormat/>
    <w:uiPriority w:val="0"/>
  </w:style>
  <w:style w:type="character" w:customStyle="1" w:styleId="211">
    <w:name w:val="WW8Num2z0"/>
    <w:qFormat/>
    <w:uiPriority w:val="0"/>
    <w:rPr>
      <w:rFonts w:ascii="Symbol" w:hAnsi="Symbol"/>
    </w:rPr>
  </w:style>
  <w:style w:type="character" w:customStyle="1" w:styleId="212">
    <w:name w:val="WW8Num17z2"/>
    <w:qFormat/>
    <w:uiPriority w:val="0"/>
  </w:style>
  <w:style w:type="character" w:customStyle="1" w:styleId="213">
    <w:name w:val="WW8Num19z2"/>
    <w:qFormat/>
    <w:uiPriority w:val="0"/>
    <w:rPr>
      <w:rFonts w:ascii="Wingdings" w:hAnsi="Wingdings"/>
    </w:rPr>
  </w:style>
  <w:style w:type="character" w:customStyle="1" w:styleId="214">
    <w:name w:val="WW8Num20z1"/>
    <w:qFormat/>
    <w:uiPriority w:val="0"/>
    <w:rPr>
      <w:rFonts w:ascii="Courier New" w:hAnsi="Courier New"/>
    </w:rPr>
  </w:style>
  <w:style w:type="character" w:customStyle="1" w:styleId="215">
    <w:name w:val="WW8Num20z2"/>
    <w:qFormat/>
    <w:uiPriority w:val="0"/>
    <w:rPr>
      <w:rFonts w:ascii="Wingdings" w:hAnsi="Wingdings"/>
    </w:rPr>
  </w:style>
  <w:style w:type="character" w:customStyle="1" w:styleId="216">
    <w:name w:val="WW8Num25z1"/>
    <w:qFormat/>
    <w:uiPriority w:val="0"/>
    <w:rPr>
      <w:rFonts w:ascii="Courier New" w:hAnsi="Courier New"/>
    </w:rPr>
  </w:style>
  <w:style w:type="character" w:customStyle="1" w:styleId="217">
    <w:name w:val="WW8Num25z2"/>
    <w:qFormat/>
    <w:uiPriority w:val="0"/>
    <w:rPr>
      <w:rFonts w:ascii="Wingdings" w:hAnsi="Wingdings"/>
    </w:rPr>
  </w:style>
  <w:style w:type="character" w:customStyle="1" w:styleId="218">
    <w:name w:val="WW8Num27z1"/>
    <w:qFormat/>
    <w:uiPriority w:val="0"/>
    <w:rPr>
      <w:rFonts w:ascii="Courier New" w:hAnsi="Courier New"/>
    </w:rPr>
  </w:style>
  <w:style w:type="character" w:customStyle="1" w:styleId="219">
    <w:name w:val="WW8Num27z2"/>
    <w:qFormat/>
    <w:uiPriority w:val="0"/>
    <w:rPr>
      <w:rFonts w:ascii="Wingdings" w:hAnsi="Wingdings"/>
    </w:rPr>
  </w:style>
  <w:style w:type="character" w:customStyle="1" w:styleId="220">
    <w:name w:val="WW8Num32z1"/>
    <w:qFormat/>
    <w:uiPriority w:val="0"/>
    <w:rPr>
      <w:rFonts w:ascii="Courier New" w:hAnsi="Courier New"/>
    </w:rPr>
  </w:style>
  <w:style w:type="character" w:customStyle="1" w:styleId="221">
    <w:name w:val="WW8Num32z2"/>
    <w:qFormat/>
    <w:uiPriority w:val="0"/>
    <w:rPr>
      <w:rFonts w:ascii="Wingdings" w:hAnsi="Wingdings"/>
    </w:rPr>
  </w:style>
  <w:style w:type="character" w:customStyle="1" w:styleId="222">
    <w:name w:val="WW8Num33z1"/>
    <w:qFormat/>
    <w:uiPriority w:val="0"/>
    <w:rPr>
      <w:rFonts w:ascii="Courier New" w:hAnsi="Courier New"/>
    </w:rPr>
  </w:style>
  <w:style w:type="character" w:customStyle="1" w:styleId="223">
    <w:name w:val="WW8Num33z2"/>
    <w:qFormat/>
    <w:uiPriority w:val="0"/>
    <w:rPr>
      <w:rFonts w:ascii="Wingdings" w:hAnsi="Wingdings"/>
    </w:rPr>
  </w:style>
  <w:style w:type="character" w:customStyle="1" w:styleId="224">
    <w:name w:val="WW8Num34z1"/>
    <w:qFormat/>
    <w:uiPriority w:val="0"/>
    <w:rPr>
      <w:rFonts w:ascii="Courier New" w:hAnsi="Courier New"/>
    </w:rPr>
  </w:style>
  <w:style w:type="character" w:customStyle="1" w:styleId="225">
    <w:name w:val="WW8Num34z2"/>
    <w:qFormat/>
    <w:uiPriority w:val="0"/>
    <w:rPr>
      <w:rFonts w:ascii="Wingdings" w:hAnsi="Wingdings"/>
    </w:rPr>
  </w:style>
  <w:style w:type="character" w:customStyle="1" w:styleId="226">
    <w:name w:val="WW8Num35z0"/>
    <w:qFormat/>
    <w:uiPriority w:val="0"/>
    <w:rPr>
      <w:rFonts w:ascii="Wingdings" w:hAnsi="Wingdings"/>
    </w:rPr>
  </w:style>
  <w:style w:type="character" w:customStyle="1" w:styleId="227">
    <w:name w:val="WW8Num35z1"/>
    <w:qFormat/>
    <w:uiPriority w:val="0"/>
    <w:rPr>
      <w:rFonts w:ascii="Courier New" w:hAnsi="Courier New"/>
    </w:rPr>
  </w:style>
  <w:style w:type="character" w:customStyle="1" w:styleId="228">
    <w:name w:val="WW8Num35z2"/>
    <w:qFormat/>
    <w:uiPriority w:val="0"/>
    <w:rPr>
      <w:rFonts w:ascii="Wingdings" w:hAnsi="Wingdings"/>
    </w:rPr>
  </w:style>
  <w:style w:type="character" w:customStyle="1" w:styleId="229">
    <w:name w:val="WW8Num36z2"/>
    <w:qFormat/>
    <w:uiPriority w:val="0"/>
    <w:rPr>
      <w:rFonts w:ascii="Wingdings" w:hAnsi="Wingdings"/>
    </w:rPr>
  </w:style>
  <w:style w:type="character" w:customStyle="1" w:styleId="230">
    <w:name w:val="WW8Num36z3"/>
    <w:qFormat/>
    <w:uiPriority w:val="0"/>
    <w:rPr>
      <w:rFonts w:ascii="Symbol" w:hAnsi="Symbol"/>
    </w:rPr>
  </w:style>
  <w:style w:type="character" w:customStyle="1" w:styleId="231">
    <w:name w:val="WW8Num37z2"/>
    <w:qFormat/>
    <w:uiPriority w:val="0"/>
    <w:rPr>
      <w:rFonts w:ascii="Wingdings" w:hAnsi="Wingdings"/>
    </w:rPr>
  </w:style>
  <w:style w:type="character" w:customStyle="1" w:styleId="232">
    <w:name w:val="WW8Num37z3"/>
    <w:qFormat/>
    <w:uiPriority w:val="0"/>
    <w:rPr>
      <w:rFonts w:ascii="Symbol" w:hAnsi="Symbol"/>
    </w:rPr>
  </w:style>
  <w:style w:type="character" w:customStyle="1" w:styleId="233">
    <w:name w:val="Fuente de párrafo predeter.2"/>
    <w:qFormat/>
    <w:uiPriority w:val="0"/>
  </w:style>
  <w:style w:type="character" w:customStyle="1" w:styleId="234">
    <w:name w:val="Car Car33"/>
    <w:qFormat/>
    <w:uiPriority w:val="0"/>
    <w:rPr>
      <w:rFonts w:ascii="Times New Roman" w:hAnsi="Times New Roman"/>
      <w:b/>
      <w:sz w:val="28"/>
      <w:lang w:val="es-EC"/>
    </w:rPr>
  </w:style>
  <w:style w:type="character" w:customStyle="1" w:styleId="235">
    <w:name w:val="Car Car27"/>
    <w:qFormat/>
    <w:uiPriority w:val="0"/>
    <w:rPr>
      <w:rFonts w:ascii="Arial" w:hAnsi="Arial"/>
      <w:spacing w:val="-2"/>
      <w:u w:val="single"/>
      <w:lang w:val="es-EC"/>
    </w:rPr>
  </w:style>
  <w:style w:type="character" w:customStyle="1" w:styleId="236">
    <w:name w:val="Car Car26"/>
    <w:qFormat/>
    <w:uiPriority w:val="0"/>
    <w:rPr>
      <w:rFonts w:ascii="Times New Roman" w:hAnsi="Times New Roman"/>
      <w:sz w:val="24"/>
      <w:lang w:val="es-EC"/>
    </w:rPr>
  </w:style>
  <w:style w:type="character" w:customStyle="1" w:styleId="237">
    <w:name w:val="Car Car25"/>
    <w:qFormat/>
    <w:uiPriority w:val="0"/>
    <w:rPr>
      <w:rFonts w:ascii="Times New Roman" w:hAnsi="Times New Roman"/>
      <w:sz w:val="20"/>
      <w:lang w:val="es-EC"/>
    </w:rPr>
  </w:style>
  <w:style w:type="character" w:customStyle="1" w:styleId="238">
    <w:name w:val="Símbolo de nota al pie"/>
    <w:qFormat/>
    <w:uiPriority w:val="0"/>
    <w:rPr>
      <w:vertAlign w:val="superscript"/>
    </w:rPr>
  </w:style>
  <w:style w:type="character" w:customStyle="1" w:styleId="239">
    <w:name w:val="Ref. de comentario2"/>
    <w:qFormat/>
    <w:uiPriority w:val="0"/>
    <w:rPr>
      <w:sz w:val="16"/>
    </w:rPr>
  </w:style>
  <w:style w:type="character" w:customStyle="1" w:styleId="240">
    <w:name w:val="Car Car24"/>
    <w:qFormat/>
    <w:uiPriority w:val="0"/>
    <w:rPr>
      <w:rFonts w:ascii="Times New Roman" w:hAnsi="Times New Roman"/>
      <w:sz w:val="20"/>
      <w:lang w:val="es-EC"/>
    </w:rPr>
  </w:style>
  <w:style w:type="character" w:customStyle="1" w:styleId="241">
    <w:name w:val="Car Car23"/>
    <w:qFormat/>
    <w:uiPriority w:val="0"/>
    <w:rPr>
      <w:rFonts w:ascii="Tahoma" w:hAnsi="Tahoma"/>
      <w:sz w:val="16"/>
      <w:lang w:val="es-EC"/>
    </w:rPr>
  </w:style>
  <w:style w:type="character" w:customStyle="1" w:styleId="242">
    <w:name w:val="Car Car31"/>
    <w:qFormat/>
    <w:uiPriority w:val="0"/>
    <w:rPr>
      <w:rFonts w:ascii="Cambria" w:hAnsi="Cambria"/>
      <w:i/>
      <w:color w:val="000080"/>
      <w:sz w:val="24"/>
      <w:lang w:val="es-EC"/>
    </w:rPr>
  </w:style>
  <w:style w:type="character" w:customStyle="1" w:styleId="243">
    <w:name w:val="Car Car29"/>
    <w:qFormat/>
    <w:uiPriority w:val="0"/>
    <w:rPr>
      <w:rFonts w:ascii="Cambria" w:hAnsi="Cambria"/>
      <w:color w:val="808080"/>
      <w:sz w:val="20"/>
      <w:lang w:val="es-EC"/>
    </w:rPr>
  </w:style>
  <w:style w:type="character" w:customStyle="1" w:styleId="244">
    <w:name w:val="Car Car36"/>
    <w:qFormat/>
    <w:uiPriority w:val="0"/>
    <w:rPr>
      <w:rFonts w:ascii="Courier New" w:hAnsi="Courier New"/>
      <w:b/>
      <w:spacing w:val="-2"/>
      <w:lang w:val="es-ES"/>
    </w:rPr>
  </w:style>
  <w:style w:type="character" w:customStyle="1" w:styleId="245">
    <w:name w:val="Car Car35"/>
    <w:qFormat/>
    <w:uiPriority w:val="0"/>
    <w:rPr>
      <w:rFonts w:ascii="Arial" w:hAnsi="Arial"/>
      <w:b/>
      <w:spacing w:val="-3"/>
      <w:sz w:val="24"/>
      <w:lang w:val="en-US"/>
    </w:rPr>
  </w:style>
  <w:style w:type="character" w:customStyle="1" w:styleId="246">
    <w:name w:val="Car Car34"/>
    <w:qFormat/>
    <w:uiPriority w:val="0"/>
    <w:rPr>
      <w:rFonts w:ascii="Arial" w:hAnsi="Arial"/>
      <w:b/>
      <w:sz w:val="26"/>
      <w:lang w:val="es-EC"/>
    </w:rPr>
  </w:style>
  <w:style w:type="character" w:customStyle="1" w:styleId="247">
    <w:name w:val="Car Car32"/>
    <w:qFormat/>
    <w:uiPriority w:val="0"/>
    <w:rPr>
      <w:rFonts w:ascii="Times New Roman" w:hAnsi="Times New Roman"/>
      <w:b/>
      <w:i/>
      <w:sz w:val="26"/>
      <w:lang w:val="es-EC"/>
    </w:rPr>
  </w:style>
  <w:style w:type="character" w:customStyle="1" w:styleId="248">
    <w:name w:val="Car Car30"/>
    <w:qFormat/>
    <w:uiPriority w:val="0"/>
    <w:rPr>
      <w:rFonts w:ascii="Flat Brush" w:hAnsi="Flat Brush"/>
      <w:b/>
      <w:sz w:val="32"/>
      <w:lang w:val="es-ES"/>
    </w:rPr>
  </w:style>
  <w:style w:type="character" w:customStyle="1" w:styleId="249">
    <w:name w:val="Car Car28"/>
    <w:qFormat/>
    <w:uiPriority w:val="0"/>
    <w:rPr>
      <w:rFonts w:ascii="Dolphin" w:hAnsi="Dolphin"/>
      <w:b/>
      <w:sz w:val="36"/>
      <w:lang w:val="es-ES"/>
    </w:rPr>
  </w:style>
  <w:style w:type="character" w:customStyle="1" w:styleId="250">
    <w:name w:val="Encabezado 2 Car1"/>
    <w:qFormat/>
    <w:uiPriority w:val="0"/>
    <w:rPr>
      <w:rFonts w:ascii="Courier New" w:hAnsi="Courier New"/>
      <w:sz w:val="20"/>
      <w:lang w:val="en-US"/>
    </w:rPr>
  </w:style>
  <w:style w:type="character" w:customStyle="1" w:styleId="251">
    <w:name w:val="WW8Num1z0"/>
    <w:qFormat/>
    <w:uiPriority w:val="0"/>
    <w:rPr>
      <w:rFonts w:ascii="Symbol" w:hAnsi="Symbol"/>
    </w:rPr>
  </w:style>
  <w:style w:type="character" w:customStyle="1" w:styleId="252">
    <w:name w:val="WW8Num4z1"/>
    <w:qFormat/>
    <w:uiPriority w:val="0"/>
    <w:rPr>
      <w:rFonts w:ascii="Courier New" w:hAnsi="Courier New"/>
    </w:rPr>
  </w:style>
  <w:style w:type="character" w:customStyle="1" w:styleId="253">
    <w:name w:val="WW8Num4z3"/>
    <w:qFormat/>
    <w:uiPriority w:val="0"/>
    <w:rPr>
      <w:rFonts w:ascii="Symbol" w:hAnsi="Symbol"/>
    </w:rPr>
  </w:style>
  <w:style w:type="character" w:customStyle="1" w:styleId="254">
    <w:name w:val="WW8Num5z1"/>
    <w:qFormat/>
    <w:uiPriority w:val="0"/>
    <w:rPr>
      <w:rFonts w:ascii="Courier New" w:hAnsi="Courier New"/>
    </w:rPr>
  </w:style>
  <w:style w:type="character" w:customStyle="1" w:styleId="255">
    <w:name w:val="WW8Num5z2"/>
    <w:qFormat/>
    <w:uiPriority w:val="0"/>
    <w:rPr>
      <w:rFonts w:ascii="Wingdings" w:hAnsi="Wingdings"/>
    </w:rPr>
  </w:style>
  <w:style w:type="character" w:customStyle="1" w:styleId="256">
    <w:name w:val="WW8Num5z3"/>
    <w:qFormat/>
    <w:uiPriority w:val="0"/>
    <w:rPr>
      <w:rFonts w:ascii="Symbol" w:hAnsi="Symbol"/>
    </w:rPr>
  </w:style>
  <w:style w:type="character" w:customStyle="1" w:styleId="257">
    <w:name w:val="WW8Num6z1"/>
    <w:qFormat/>
    <w:uiPriority w:val="0"/>
    <w:rPr>
      <w:rFonts w:ascii="Courier New" w:hAnsi="Courier New"/>
    </w:rPr>
  </w:style>
  <w:style w:type="character" w:customStyle="1" w:styleId="258">
    <w:name w:val="WW8Num6z3"/>
    <w:qFormat/>
    <w:uiPriority w:val="0"/>
    <w:rPr>
      <w:rFonts w:ascii="Symbol" w:hAnsi="Symbol"/>
    </w:rPr>
  </w:style>
  <w:style w:type="character" w:customStyle="1" w:styleId="259">
    <w:name w:val="WW8Num7z1"/>
    <w:qFormat/>
    <w:uiPriority w:val="0"/>
    <w:rPr>
      <w:rFonts w:ascii="Courier New" w:hAnsi="Courier New"/>
    </w:rPr>
  </w:style>
  <w:style w:type="character" w:customStyle="1" w:styleId="260">
    <w:name w:val="WW8Num7z3"/>
    <w:qFormat/>
    <w:uiPriority w:val="0"/>
    <w:rPr>
      <w:rFonts w:ascii="Symbol" w:hAnsi="Symbol"/>
    </w:rPr>
  </w:style>
  <w:style w:type="character" w:customStyle="1" w:styleId="261">
    <w:name w:val="WW8Num9z1"/>
    <w:qFormat/>
    <w:uiPriority w:val="0"/>
    <w:rPr>
      <w:rFonts w:ascii="Courier New" w:hAnsi="Courier New"/>
    </w:rPr>
  </w:style>
  <w:style w:type="character" w:customStyle="1" w:styleId="262">
    <w:name w:val="WW8Num9z2"/>
    <w:qFormat/>
    <w:uiPriority w:val="0"/>
    <w:rPr>
      <w:rFonts w:ascii="Wingdings" w:hAnsi="Wingdings"/>
    </w:rPr>
  </w:style>
  <w:style w:type="character" w:customStyle="1" w:styleId="263">
    <w:name w:val="WW8Num10z3"/>
    <w:qFormat/>
    <w:uiPriority w:val="0"/>
    <w:rPr>
      <w:rFonts w:ascii="Symbol" w:hAnsi="Symbol"/>
    </w:rPr>
  </w:style>
  <w:style w:type="character" w:customStyle="1" w:styleId="264">
    <w:name w:val="WW8Num10z4"/>
    <w:qFormat/>
    <w:uiPriority w:val="0"/>
    <w:rPr>
      <w:rFonts w:ascii="Courier New" w:hAnsi="Courier New"/>
    </w:rPr>
  </w:style>
  <w:style w:type="character" w:customStyle="1" w:styleId="265">
    <w:name w:val="WW8Num11z3"/>
    <w:qFormat/>
    <w:uiPriority w:val="0"/>
    <w:rPr>
      <w:rFonts w:ascii="Symbol" w:hAnsi="Symbol"/>
    </w:rPr>
  </w:style>
  <w:style w:type="character" w:customStyle="1" w:styleId="266">
    <w:name w:val="WW8Num12z2"/>
    <w:qFormat/>
    <w:uiPriority w:val="0"/>
    <w:rPr>
      <w:rFonts w:ascii="Wingdings" w:hAnsi="Wingdings"/>
    </w:rPr>
  </w:style>
  <w:style w:type="character" w:customStyle="1" w:styleId="267">
    <w:name w:val="WW8Num14z2"/>
    <w:qFormat/>
    <w:uiPriority w:val="0"/>
    <w:rPr>
      <w:rFonts w:ascii="Wingdings" w:hAnsi="Wingdings"/>
    </w:rPr>
  </w:style>
  <w:style w:type="character" w:customStyle="1" w:styleId="268">
    <w:name w:val="WW8Num16z2"/>
    <w:qFormat/>
    <w:uiPriority w:val="0"/>
    <w:rPr>
      <w:rFonts w:ascii="Wingdings" w:hAnsi="Wingdings"/>
    </w:rPr>
  </w:style>
  <w:style w:type="character" w:customStyle="1" w:styleId="269">
    <w:name w:val="WW8Num17z3"/>
    <w:qFormat/>
    <w:uiPriority w:val="0"/>
    <w:rPr>
      <w:rFonts w:ascii="Symbol" w:hAnsi="Symbol"/>
    </w:rPr>
  </w:style>
  <w:style w:type="character" w:customStyle="1" w:styleId="270">
    <w:name w:val="WW8Num20z3"/>
    <w:qFormat/>
    <w:uiPriority w:val="0"/>
    <w:rPr>
      <w:rFonts w:ascii="Symbol" w:hAnsi="Symbol"/>
    </w:rPr>
  </w:style>
  <w:style w:type="character" w:customStyle="1" w:styleId="271">
    <w:name w:val="WW8Num20z4"/>
    <w:qFormat/>
    <w:uiPriority w:val="0"/>
    <w:rPr>
      <w:rFonts w:ascii="Courier New" w:hAnsi="Courier New"/>
    </w:rPr>
  </w:style>
  <w:style w:type="character" w:customStyle="1" w:styleId="272">
    <w:name w:val="WW8Num22z1"/>
    <w:qFormat/>
    <w:uiPriority w:val="0"/>
    <w:rPr>
      <w:rFonts w:ascii="Courier New" w:hAnsi="Courier New"/>
    </w:rPr>
  </w:style>
  <w:style w:type="character" w:customStyle="1" w:styleId="273">
    <w:name w:val="WW8Num22z3"/>
    <w:qFormat/>
    <w:uiPriority w:val="0"/>
    <w:rPr>
      <w:rFonts w:ascii="Symbol" w:hAnsi="Symbol"/>
    </w:rPr>
  </w:style>
  <w:style w:type="character" w:customStyle="1" w:styleId="274">
    <w:name w:val="WW8Num23z1"/>
    <w:qFormat/>
    <w:uiPriority w:val="0"/>
    <w:rPr>
      <w:rFonts w:ascii="Symbol" w:hAnsi="Symbol"/>
      <w:sz w:val="20"/>
    </w:rPr>
  </w:style>
  <w:style w:type="character" w:customStyle="1" w:styleId="275">
    <w:name w:val="WW8Num24z1"/>
    <w:qFormat/>
    <w:uiPriority w:val="0"/>
    <w:rPr>
      <w:rFonts w:ascii="Symbol" w:hAnsi="Symbol"/>
      <w:sz w:val="20"/>
    </w:rPr>
  </w:style>
  <w:style w:type="character" w:customStyle="1" w:styleId="276">
    <w:name w:val="WW8Num27z3"/>
    <w:qFormat/>
    <w:uiPriority w:val="0"/>
    <w:rPr>
      <w:rFonts w:ascii="Symbol" w:hAnsi="Symbol"/>
    </w:rPr>
  </w:style>
  <w:style w:type="character" w:customStyle="1" w:styleId="277">
    <w:name w:val="WW8Num31z0"/>
    <w:qFormat/>
    <w:uiPriority w:val="0"/>
    <w:rPr>
      <w:rFonts w:ascii="Symbol" w:hAnsi="Symbol"/>
    </w:rPr>
  </w:style>
  <w:style w:type="character" w:customStyle="1" w:styleId="278">
    <w:name w:val="WW8Num31z1"/>
    <w:qFormat/>
    <w:uiPriority w:val="0"/>
    <w:rPr>
      <w:rFonts w:ascii="Courier New" w:hAnsi="Courier New"/>
    </w:rPr>
  </w:style>
  <w:style w:type="character" w:customStyle="1" w:styleId="279">
    <w:name w:val="WW8Num31z2"/>
    <w:qFormat/>
    <w:uiPriority w:val="0"/>
    <w:rPr>
      <w:rFonts w:ascii="Wingdings" w:hAnsi="Wingdings"/>
    </w:rPr>
  </w:style>
  <w:style w:type="character" w:customStyle="1" w:styleId="280">
    <w:name w:val="WW8Num32z3"/>
    <w:qFormat/>
    <w:uiPriority w:val="0"/>
    <w:rPr>
      <w:rFonts w:ascii="Symbol" w:hAnsi="Symbol"/>
    </w:rPr>
  </w:style>
  <w:style w:type="character" w:customStyle="1" w:styleId="281">
    <w:name w:val="WW8Num33z3"/>
    <w:qFormat/>
    <w:uiPriority w:val="0"/>
    <w:rPr>
      <w:rFonts w:ascii="Symbol" w:hAnsi="Symbol"/>
    </w:rPr>
  </w:style>
  <w:style w:type="character" w:customStyle="1" w:styleId="282">
    <w:name w:val="WW8Num35z3"/>
    <w:qFormat/>
    <w:uiPriority w:val="0"/>
    <w:rPr>
      <w:rFonts w:ascii="Symbol" w:hAnsi="Symbol"/>
    </w:rPr>
  </w:style>
  <w:style w:type="character" w:customStyle="1" w:styleId="283">
    <w:name w:val="WW8Num38z3"/>
    <w:qFormat/>
    <w:uiPriority w:val="0"/>
    <w:rPr>
      <w:rFonts w:ascii="Symbol" w:hAnsi="Symbol"/>
    </w:rPr>
  </w:style>
  <w:style w:type="character" w:customStyle="1" w:styleId="284">
    <w:name w:val="WW8Num39z3"/>
    <w:qFormat/>
    <w:uiPriority w:val="0"/>
    <w:rPr>
      <w:rFonts w:ascii="Symbol" w:hAnsi="Symbol"/>
    </w:rPr>
  </w:style>
  <w:style w:type="character" w:customStyle="1" w:styleId="285">
    <w:name w:val="WW8Num40z3"/>
    <w:qFormat/>
    <w:uiPriority w:val="0"/>
    <w:rPr>
      <w:rFonts w:ascii="Symbol" w:hAnsi="Symbol"/>
    </w:rPr>
  </w:style>
  <w:style w:type="character" w:customStyle="1" w:styleId="286">
    <w:name w:val="WW8Num41z0"/>
    <w:qFormat/>
    <w:uiPriority w:val="0"/>
    <w:rPr>
      <w:rFonts w:ascii="Wingdings" w:hAnsi="Wingdings"/>
    </w:rPr>
  </w:style>
  <w:style w:type="character" w:customStyle="1" w:styleId="287">
    <w:name w:val="WW8Num41z1"/>
    <w:qFormat/>
    <w:uiPriority w:val="0"/>
    <w:rPr>
      <w:rFonts w:ascii="Courier New" w:hAnsi="Courier New"/>
    </w:rPr>
  </w:style>
  <w:style w:type="character" w:customStyle="1" w:styleId="288">
    <w:name w:val="WW8Num41z3"/>
    <w:qFormat/>
    <w:uiPriority w:val="0"/>
    <w:rPr>
      <w:rFonts w:ascii="Symbol" w:hAnsi="Symbol"/>
    </w:rPr>
  </w:style>
  <w:style w:type="character" w:customStyle="1" w:styleId="289">
    <w:name w:val="WW8Num42z0"/>
    <w:qFormat/>
    <w:uiPriority w:val="0"/>
    <w:rPr>
      <w:rFonts w:ascii="Wingdings" w:hAnsi="Wingdings"/>
    </w:rPr>
  </w:style>
  <w:style w:type="character" w:customStyle="1" w:styleId="290">
    <w:name w:val="WW8Num42z1"/>
    <w:qFormat/>
    <w:uiPriority w:val="0"/>
    <w:rPr>
      <w:rFonts w:ascii="Courier New" w:hAnsi="Courier New"/>
    </w:rPr>
  </w:style>
  <w:style w:type="character" w:customStyle="1" w:styleId="291">
    <w:name w:val="WW8Num42z3"/>
    <w:qFormat/>
    <w:uiPriority w:val="0"/>
    <w:rPr>
      <w:rFonts w:ascii="Symbol" w:hAnsi="Symbol"/>
    </w:rPr>
  </w:style>
  <w:style w:type="character" w:customStyle="1" w:styleId="292">
    <w:name w:val="WW8Num43z1"/>
    <w:qFormat/>
    <w:uiPriority w:val="0"/>
    <w:rPr>
      <w:rFonts w:ascii="Courier New" w:hAnsi="Courier New"/>
    </w:rPr>
  </w:style>
  <w:style w:type="character" w:customStyle="1" w:styleId="293">
    <w:name w:val="WW8Num43z3"/>
    <w:qFormat/>
    <w:uiPriority w:val="0"/>
    <w:rPr>
      <w:rFonts w:ascii="Symbol" w:hAnsi="Symbol"/>
    </w:rPr>
  </w:style>
  <w:style w:type="character" w:customStyle="1" w:styleId="294">
    <w:name w:val="WW8Num44z1"/>
    <w:qFormat/>
    <w:uiPriority w:val="0"/>
    <w:rPr>
      <w:rFonts w:ascii="Courier New" w:hAnsi="Courier New"/>
    </w:rPr>
  </w:style>
  <w:style w:type="character" w:customStyle="1" w:styleId="295">
    <w:name w:val="WW8Num44z3"/>
    <w:qFormat/>
    <w:uiPriority w:val="0"/>
    <w:rPr>
      <w:rFonts w:ascii="Symbol" w:hAnsi="Symbol"/>
    </w:rPr>
  </w:style>
  <w:style w:type="character" w:customStyle="1" w:styleId="296">
    <w:name w:val="Parte Car"/>
    <w:qFormat/>
    <w:uiPriority w:val="0"/>
    <w:rPr>
      <w:rFonts w:ascii="Courier New" w:hAnsi="Courier New"/>
      <w:b/>
      <w:spacing w:val="-2"/>
      <w:sz w:val="22"/>
      <w:lang w:val="es-ES"/>
    </w:rPr>
  </w:style>
  <w:style w:type="character" w:customStyle="1" w:styleId="297">
    <w:name w:val="Artículo Car"/>
    <w:qFormat/>
    <w:uiPriority w:val="0"/>
    <w:rPr>
      <w:rFonts w:ascii="Arial" w:hAnsi="Arial"/>
      <w:b/>
      <w:spacing w:val="-2"/>
      <w:lang w:val="es-ES"/>
    </w:rPr>
  </w:style>
  <w:style w:type="character" w:customStyle="1" w:styleId="298">
    <w:name w:val="Car Car17"/>
    <w:qFormat/>
    <w:uiPriority w:val="0"/>
    <w:rPr>
      <w:rFonts w:ascii="Arial" w:hAnsi="Arial"/>
      <w:b/>
      <w:spacing w:val="-3"/>
      <w:sz w:val="24"/>
      <w:lang w:val="es-ES"/>
    </w:rPr>
  </w:style>
  <w:style w:type="character" w:customStyle="1" w:styleId="299">
    <w:name w:val="Car Car16"/>
    <w:qFormat/>
    <w:uiPriority w:val="0"/>
    <w:rPr>
      <w:rFonts w:ascii="Arial" w:hAnsi="Arial"/>
      <w:b/>
      <w:spacing w:val="-3"/>
      <w:sz w:val="24"/>
      <w:lang w:val="es-EC"/>
    </w:rPr>
  </w:style>
  <w:style w:type="character" w:customStyle="1" w:styleId="300">
    <w:name w:val="Car Car15"/>
    <w:qFormat/>
    <w:uiPriority w:val="0"/>
    <w:rPr>
      <w:rFonts w:ascii="Arial" w:hAnsi="Arial"/>
      <w:b/>
      <w:sz w:val="28"/>
      <w:lang w:val="es-ES"/>
    </w:rPr>
  </w:style>
  <w:style w:type="character" w:customStyle="1" w:styleId="301">
    <w:name w:val="Car Car14"/>
    <w:qFormat/>
    <w:uiPriority w:val="0"/>
    <w:rPr>
      <w:rFonts w:ascii="Flat Brush" w:hAnsi="Flat Brush"/>
      <w:b/>
      <w:sz w:val="32"/>
      <w:lang w:val="es-ES"/>
    </w:rPr>
  </w:style>
  <w:style w:type="character" w:customStyle="1" w:styleId="302">
    <w:name w:val="Car Car13"/>
    <w:qFormat/>
    <w:uiPriority w:val="0"/>
    <w:rPr>
      <w:rFonts w:ascii="Arial" w:hAnsi="Arial"/>
      <w:sz w:val="32"/>
      <w:lang w:val="es-ES"/>
    </w:rPr>
  </w:style>
  <w:style w:type="character" w:customStyle="1" w:styleId="303">
    <w:name w:val="Car Car12"/>
    <w:qFormat/>
    <w:uiPriority w:val="0"/>
    <w:rPr>
      <w:rFonts w:ascii="Dolphin" w:hAnsi="Dolphin"/>
      <w:b/>
      <w:sz w:val="36"/>
      <w:lang w:val="es-ES"/>
    </w:rPr>
  </w:style>
  <w:style w:type="character" w:customStyle="1" w:styleId="304">
    <w:name w:val="Encabezado 2 Car"/>
    <w:qFormat/>
    <w:uiPriority w:val="0"/>
    <w:rPr>
      <w:rFonts w:ascii="Courier New" w:hAnsi="Courier New"/>
      <w:lang w:val="en-US"/>
    </w:rPr>
  </w:style>
  <w:style w:type="character" w:customStyle="1" w:styleId="305">
    <w:name w:val="Ref. de comentario1"/>
    <w:qFormat/>
    <w:uiPriority w:val="0"/>
    <w:rPr>
      <w:sz w:val="16"/>
    </w:rPr>
  </w:style>
  <w:style w:type="character" w:customStyle="1" w:styleId="306">
    <w:name w:val="Car Car4"/>
    <w:qFormat/>
    <w:uiPriority w:val="0"/>
    <w:rPr>
      <w:rFonts w:ascii="Arial" w:hAnsi="Arial"/>
      <w:spacing w:val="-2"/>
      <w:sz w:val="22"/>
      <w:lang w:val="es-EC"/>
    </w:rPr>
  </w:style>
  <w:style w:type="character" w:customStyle="1" w:styleId="307">
    <w:name w:val="Car Car6"/>
    <w:qFormat/>
    <w:uiPriority w:val="0"/>
    <w:rPr>
      <w:rFonts w:ascii="Arial" w:hAnsi="Arial"/>
      <w:lang w:val="es-ES"/>
    </w:rPr>
  </w:style>
  <w:style w:type="character" w:customStyle="1" w:styleId="308">
    <w:name w:val="Car Car7"/>
    <w:qFormat/>
    <w:uiPriority w:val="0"/>
    <w:rPr>
      <w:rFonts w:ascii="Arial" w:hAnsi="Arial"/>
      <w:color w:val="000000"/>
      <w:sz w:val="22"/>
      <w:lang w:val="es-ES"/>
    </w:rPr>
  </w:style>
  <w:style w:type="character" w:customStyle="1" w:styleId="309">
    <w:name w:val="Car Car5"/>
    <w:qFormat/>
    <w:uiPriority w:val="0"/>
    <w:rPr>
      <w:rFonts w:ascii="Arial" w:hAnsi="Arial"/>
      <w:color w:val="0000FF"/>
      <w:sz w:val="22"/>
      <w:lang w:val="es-ES"/>
    </w:rPr>
  </w:style>
  <w:style w:type="character" w:customStyle="1" w:styleId="310">
    <w:name w:val="Car Car10"/>
    <w:qFormat/>
    <w:uiPriority w:val="0"/>
    <w:rPr>
      <w:rFonts w:ascii="Arial" w:hAnsi="Arial"/>
      <w:spacing w:val="-2"/>
      <w:sz w:val="22"/>
      <w:u w:val="single"/>
      <w:lang w:val="es-EC"/>
    </w:rPr>
  </w:style>
  <w:style w:type="character" w:customStyle="1" w:styleId="311">
    <w:name w:val="Car Car3"/>
    <w:qFormat/>
    <w:uiPriority w:val="0"/>
    <w:rPr>
      <w:rFonts w:ascii="Arial" w:hAnsi="Arial"/>
      <w:b/>
      <w:spacing w:val="-2"/>
      <w:sz w:val="22"/>
      <w:lang w:val="es-EC"/>
    </w:rPr>
  </w:style>
  <w:style w:type="character" w:customStyle="1" w:styleId="312">
    <w:name w:val="Car Car8"/>
    <w:qFormat/>
    <w:uiPriority w:val="0"/>
    <w:rPr>
      <w:rFonts w:ascii="Arial" w:hAnsi="Arial"/>
      <w:color w:val="0000FF"/>
      <w:lang w:val="es-ES"/>
    </w:rPr>
  </w:style>
  <w:style w:type="character" w:customStyle="1" w:styleId="313">
    <w:name w:val="pie de página Car Car"/>
    <w:qFormat/>
    <w:uiPriority w:val="0"/>
    <w:rPr>
      <w:rFonts w:ascii="Courier New" w:hAnsi="Courier New"/>
      <w:sz w:val="24"/>
      <w:lang w:val="es-ES"/>
    </w:rPr>
  </w:style>
  <w:style w:type="character" w:customStyle="1" w:styleId="314">
    <w:name w:val="Car Car2"/>
    <w:qFormat/>
    <w:uiPriority w:val="0"/>
    <w:rPr>
      <w:rFonts w:ascii="Courier New" w:hAnsi="Courier New"/>
      <w:sz w:val="24"/>
      <w:lang w:val="es-ES"/>
    </w:rPr>
  </w:style>
  <w:style w:type="character" w:customStyle="1" w:styleId="315">
    <w:name w:val="Car Car"/>
    <w:qFormat/>
    <w:uiPriority w:val="0"/>
    <w:rPr>
      <w:rFonts w:ascii="Tahoma" w:hAnsi="Tahoma"/>
      <w:sz w:val="16"/>
      <w:lang w:val="es-EC"/>
    </w:rPr>
  </w:style>
  <w:style w:type="character" w:customStyle="1" w:styleId="316">
    <w:name w:val="Car Car11"/>
    <w:qFormat/>
    <w:uiPriority w:val="0"/>
    <w:rPr>
      <w:rFonts w:ascii="Tahoma" w:hAnsi="Tahoma"/>
      <w:sz w:val="24"/>
      <w:lang w:val="es-EC"/>
    </w:rPr>
  </w:style>
  <w:style w:type="character" w:customStyle="1" w:styleId="317">
    <w:name w:val="Car Car9"/>
    <w:qFormat/>
    <w:uiPriority w:val="0"/>
    <w:rPr>
      <w:lang w:val="es-ES"/>
    </w:rPr>
  </w:style>
  <w:style w:type="character" w:customStyle="1" w:styleId="318">
    <w:name w:val="Car Car1"/>
    <w:qFormat/>
    <w:uiPriority w:val="0"/>
    <w:rPr>
      <w:sz w:val="24"/>
      <w:lang w:val="es-ES"/>
    </w:rPr>
  </w:style>
  <w:style w:type="character" w:customStyle="1" w:styleId="319">
    <w:name w:val="Carácter de numeración"/>
    <w:qFormat/>
    <w:uiPriority w:val="0"/>
  </w:style>
  <w:style w:type="character" w:customStyle="1" w:styleId="320">
    <w:name w:val="Car Car22"/>
    <w:qFormat/>
    <w:uiPriority w:val="0"/>
    <w:rPr>
      <w:rFonts w:ascii="Arial" w:hAnsi="Arial"/>
      <w:b/>
      <w:spacing w:val="-2"/>
      <w:lang w:val="es-EC"/>
    </w:rPr>
  </w:style>
  <w:style w:type="character" w:customStyle="1" w:styleId="321">
    <w:name w:val="Car Car21"/>
    <w:qFormat/>
    <w:uiPriority w:val="0"/>
    <w:rPr>
      <w:rFonts w:ascii="Courier New" w:hAnsi="Courier New"/>
      <w:sz w:val="24"/>
    </w:rPr>
  </w:style>
  <w:style w:type="character" w:customStyle="1" w:styleId="322">
    <w:name w:val="Car Car20"/>
    <w:qFormat/>
    <w:uiPriority w:val="0"/>
    <w:rPr>
      <w:rFonts w:ascii="Courier New" w:hAnsi="Courier New"/>
      <w:sz w:val="24"/>
    </w:rPr>
  </w:style>
  <w:style w:type="character" w:customStyle="1" w:styleId="323">
    <w:name w:val="Car Car19"/>
    <w:qFormat/>
    <w:uiPriority w:val="0"/>
    <w:rPr>
      <w:rFonts w:ascii="Times New Roman" w:hAnsi="Times New Roman"/>
      <w:sz w:val="24"/>
    </w:rPr>
  </w:style>
  <w:style w:type="character" w:customStyle="1" w:styleId="324">
    <w:name w:val="Car Car18"/>
    <w:qFormat/>
    <w:uiPriority w:val="0"/>
    <w:rPr>
      <w:rFonts w:ascii="Times New Roman" w:hAnsi="Times New Roman"/>
      <w:b/>
      <w:sz w:val="20"/>
      <w:lang w:val="es-EC"/>
    </w:rPr>
  </w:style>
  <w:style w:type="character" w:customStyle="1" w:styleId="325">
    <w:name w:val="Car Car171"/>
    <w:qFormat/>
    <w:uiPriority w:val="0"/>
    <w:rPr>
      <w:rFonts w:ascii="Arial" w:hAnsi="Arial"/>
      <w:b/>
      <w:spacing w:val="-3"/>
      <w:sz w:val="24"/>
      <w:lang w:val="es-ES"/>
    </w:rPr>
  </w:style>
  <w:style w:type="character" w:customStyle="1" w:styleId="326">
    <w:name w:val="Car Car161"/>
    <w:qFormat/>
    <w:uiPriority w:val="0"/>
    <w:rPr>
      <w:rFonts w:ascii="Arial" w:hAnsi="Arial"/>
      <w:b/>
      <w:spacing w:val="-3"/>
      <w:sz w:val="24"/>
      <w:lang w:val="es-EC"/>
    </w:rPr>
  </w:style>
  <w:style w:type="character" w:customStyle="1" w:styleId="327">
    <w:name w:val="Car Car151"/>
    <w:qFormat/>
    <w:uiPriority w:val="0"/>
    <w:rPr>
      <w:rFonts w:ascii="Arial" w:hAnsi="Arial"/>
      <w:b/>
      <w:sz w:val="28"/>
      <w:lang w:val="es-ES"/>
    </w:rPr>
  </w:style>
  <w:style w:type="character" w:customStyle="1" w:styleId="328">
    <w:name w:val="Car Car141"/>
    <w:qFormat/>
    <w:uiPriority w:val="0"/>
    <w:rPr>
      <w:rFonts w:ascii="Flat Brush" w:hAnsi="Flat Brush"/>
      <w:b/>
      <w:sz w:val="32"/>
      <w:lang w:val="es-ES"/>
    </w:rPr>
  </w:style>
  <w:style w:type="character" w:customStyle="1" w:styleId="329">
    <w:name w:val="Car Car131"/>
    <w:qFormat/>
    <w:uiPriority w:val="0"/>
    <w:rPr>
      <w:rFonts w:ascii="Arial" w:hAnsi="Arial"/>
      <w:sz w:val="32"/>
      <w:lang w:val="es-ES"/>
    </w:rPr>
  </w:style>
  <w:style w:type="character" w:customStyle="1" w:styleId="330">
    <w:name w:val="Car Car121"/>
    <w:qFormat/>
    <w:uiPriority w:val="0"/>
    <w:rPr>
      <w:rFonts w:ascii="Dolphin" w:hAnsi="Dolphin"/>
      <w:b/>
      <w:sz w:val="36"/>
      <w:lang w:val="es-ES"/>
    </w:rPr>
  </w:style>
  <w:style w:type="character" w:customStyle="1" w:styleId="331">
    <w:name w:val="Car Car41"/>
    <w:qFormat/>
    <w:uiPriority w:val="0"/>
    <w:rPr>
      <w:rFonts w:ascii="Arial" w:hAnsi="Arial"/>
      <w:spacing w:val="-2"/>
      <w:sz w:val="22"/>
      <w:lang w:val="es-EC"/>
    </w:rPr>
  </w:style>
  <w:style w:type="character" w:customStyle="1" w:styleId="332">
    <w:name w:val="Car Car61"/>
    <w:qFormat/>
    <w:uiPriority w:val="0"/>
    <w:rPr>
      <w:rFonts w:ascii="Arial" w:hAnsi="Arial"/>
      <w:lang w:val="es-ES"/>
    </w:rPr>
  </w:style>
  <w:style w:type="character" w:customStyle="1" w:styleId="333">
    <w:name w:val="Car Car71"/>
    <w:qFormat/>
    <w:uiPriority w:val="0"/>
    <w:rPr>
      <w:rFonts w:ascii="Arial" w:hAnsi="Arial"/>
      <w:color w:val="000000"/>
      <w:sz w:val="22"/>
      <w:lang w:val="es-ES"/>
    </w:rPr>
  </w:style>
  <w:style w:type="character" w:customStyle="1" w:styleId="334">
    <w:name w:val="Car Car51"/>
    <w:qFormat/>
    <w:uiPriority w:val="0"/>
    <w:rPr>
      <w:rFonts w:ascii="Arial" w:hAnsi="Arial"/>
      <w:color w:val="0000FF"/>
      <w:sz w:val="22"/>
      <w:lang w:val="es-ES"/>
    </w:rPr>
  </w:style>
  <w:style w:type="character" w:customStyle="1" w:styleId="335">
    <w:name w:val="Car Car101"/>
    <w:qFormat/>
    <w:uiPriority w:val="0"/>
    <w:rPr>
      <w:rFonts w:ascii="Arial" w:hAnsi="Arial"/>
      <w:spacing w:val="-2"/>
      <w:sz w:val="22"/>
      <w:u w:val="single"/>
      <w:lang w:val="es-EC"/>
    </w:rPr>
  </w:style>
  <w:style w:type="character" w:customStyle="1" w:styleId="336">
    <w:name w:val="Car Car38"/>
    <w:qFormat/>
    <w:uiPriority w:val="0"/>
    <w:rPr>
      <w:rFonts w:ascii="Arial" w:hAnsi="Arial"/>
      <w:b/>
      <w:spacing w:val="-2"/>
      <w:sz w:val="22"/>
      <w:lang w:val="es-EC"/>
    </w:rPr>
  </w:style>
  <w:style w:type="character" w:customStyle="1" w:styleId="337">
    <w:name w:val="Car Car81"/>
    <w:qFormat/>
    <w:uiPriority w:val="0"/>
    <w:rPr>
      <w:rFonts w:ascii="Arial" w:hAnsi="Arial"/>
      <w:color w:val="0000FF"/>
      <w:lang w:val="es-ES"/>
    </w:rPr>
  </w:style>
  <w:style w:type="character" w:customStyle="1" w:styleId="338">
    <w:name w:val="Car Car210"/>
    <w:qFormat/>
    <w:uiPriority w:val="0"/>
    <w:rPr>
      <w:rFonts w:ascii="Courier New" w:hAnsi="Courier New"/>
      <w:sz w:val="24"/>
      <w:lang w:val="es-ES"/>
    </w:rPr>
  </w:style>
  <w:style w:type="character" w:customStyle="1" w:styleId="339">
    <w:name w:val="Car Car37"/>
    <w:qFormat/>
    <w:uiPriority w:val="0"/>
    <w:rPr>
      <w:rFonts w:ascii="Tahoma" w:hAnsi="Tahoma"/>
      <w:sz w:val="16"/>
      <w:lang w:val="es-EC"/>
    </w:rPr>
  </w:style>
  <w:style w:type="character" w:customStyle="1" w:styleId="340">
    <w:name w:val="Car Car111"/>
    <w:qFormat/>
    <w:uiPriority w:val="0"/>
    <w:rPr>
      <w:rFonts w:ascii="Tahoma" w:hAnsi="Tahoma"/>
      <w:sz w:val="24"/>
      <w:lang w:val="es-EC"/>
    </w:rPr>
  </w:style>
  <w:style w:type="character" w:customStyle="1" w:styleId="341">
    <w:name w:val="Car Car91"/>
    <w:qFormat/>
    <w:uiPriority w:val="0"/>
    <w:rPr>
      <w:lang w:val="es-ES"/>
    </w:rPr>
  </w:style>
  <w:style w:type="character" w:customStyle="1" w:styleId="342">
    <w:name w:val="Car Car110"/>
    <w:qFormat/>
    <w:uiPriority w:val="0"/>
    <w:rPr>
      <w:sz w:val="24"/>
      <w:lang w:val="es-ES"/>
    </w:rPr>
  </w:style>
  <w:style w:type="character" w:customStyle="1" w:styleId="343">
    <w:name w:val="Viñetas"/>
    <w:qFormat/>
    <w:uiPriority w:val="0"/>
    <w:rPr>
      <w:rFonts w:ascii="OpenSymbol" w:hAnsi="OpenSymbol"/>
    </w:rPr>
  </w:style>
  <w:style w:type="character" w:customStyle="1" w:styleId="344">
    <w:name w:val="Símbolo de nota final"/>
    <w:qFormat/>
    <w:uiPriority w:val="0"/>
    <w:rPr>
      <w:vertAlign w:val="superscript"/>
    </w:rPr>
  </w:style>
  <w:style w:type="character" w:customStyle="1" w:styleId="345">
    <w:name w:val="WW-Símbolo de nota final"/>
    <w:qFormat/>
    <w:uiPriority w:val="0"/>
  </w:style>
  <w:style w:type="character" w:customStyle="1" w:styleId="346">
    <w:name w:val="Ref. de nota al final1"/>
    <w:qFormat/>
    <w:uiPriority w:val="0"/>
    <w:rPr>
      <w:vertAlign w:val="superscript"/>
    </w:rPr>
  </w:style>
  <w:style w:type="character" w:customStyle="1" w:styleId="347">
    <w:name w:val="Ref. de nota al pie2"/>
    <w:qFormat/>
    <w:uiPriority w:val="0"/>
    <w:rPr>
      <w:vertAlign w:val="superscript"/>
    </w:rPr>
  </w:style>
  <w:style w:type="character" w:customStyle="1" w:styleId="348">
    <w:name w:val="Ref. de nota al final2"/>
    <w:qFormat/>
    <w:uiPriority w:val="0"/>
    <w:rPr>
      <w:vertAlign w:val="superscript"/>
    </w:rPr>
  </w:style>
  <w:style w:type="character" w:customStyle="1" w:styleId="349">
    <w:name w:val="Ref. de nota al pie3"/>
    <w:qFormat/>
    <w:uiPriority w:val="0"/>
    <w:rPr>
      <w:vertAlign w:val="superscript"/>
    </w:rPr>
  </w:style>
  <w:style w:type="character" w:customStyle="1" w:styleId="350">
    <w:name w:val="Ref. de nota al final3"/>
    <w:qFormat/>
    <w:uiPriority w:val="0"/>
    <w:rPr>
      <w:vertAlign w:val="superscript"/>
    </w:rPr>
  </w:style>
  <w:style w:type="character" w:customStyle="1" w:styleId="351">
    <w:name w:val="Ref. de nota al pie4"/>
    <w:qFormat/>
    <w:uiPriority w:val="0"/>
    <w:rPr>
      <w:vertAlign w:val="superscript"/>
    </w:rPr>
  </w:style>
  <w:style w:type="character" w:customStyle="1" w:styleId="352">
    <w:name w:val="Ref. de nota al final4"/>
    <w:qFormat/>
    <w:uiPriority w:val="0"/>
    <w:rPr>
      <w:vertAlign w:val="superscript"/>
    </w:rPr>
  </w:style>
  <w:style w:type="character" w:customStyle="1" w:styleId="353">
    <w:name w:val="Caracteres de nota final"/>
    <w:qFormat/>
    <w:uiPriority w:val="0"/>
    <w:rPr>
      <w:vertAlign w:val="superscript"/>
    </w:rPr>
  </w:style>
  <w:style w:type="character" w:customStyle="1" w:styleId="354">
    <w:name w:val="Símbolos de numeración"/>
    <w:qFormat/>
    <w:uiPriority w:val="0"/>
  </w:style>
  <w:style w:type="paragraph" w:customStyle="1" w:styleId="355">
    <w:name w:val="Encabezado6"/>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6">
    <w:name w:val="Etiqueta"/>
    <w:basedOn w:val="1"/>
    <w:qFormat/>
    <w:uiPriority w:val="0"/>
    <w:pPr>
      <w:suppressLineNumbers/>
      <w:suppressAutoHyphens/>
      <w:spacing w:before="120" w:after="120" w:line="240" w:lineRule="auto"/>
    </w:pPr>
    <w:rPr>
      <w:rFonts w:ascii="Times New Roman" w:hAnsi="Times New Roman" w:eastAsia="Times New Roman" w:cs="Times New Roman"/>
      <w:i/>
      <w:sz w:val="24"/>
      <w:szCs w:val="20"/>
      <w:lang w:eastAsia="hi-IN" w:bidi="hi-IN"/>
    </w:rPr>
  </w:style>
  <w:style w:type="paragraph" w:customStyle="1" w:styleId="357">
    <w:name w:val="Índice"/>
    <w:basedOn w:val="1"/>
    <w:qFormat/>
    <w:uiPriority w:val="0"/>
    <w:pPr>
      <w:suppressLineNumbers/>
      <w:suppressAutoHyphens/>
      <w:spacing w:after="0" w:line="240" w:lineRule="auto"/>
    </w:pPr>
    <w:rPr>
      <w:rFonts w:ascii="Times New Roman" w:hAnsi="Times New Roman" w:eastAsia="Times New Roman" w:cs="Times New Roman"/>
      <w:sz w:val="24"/>
      <w:szCs w:val="20"/>
      <w:lang w:eastAsia="hi-IN" w:bidi="hi-IN"/>
    </w:rPr>
  </w:style>
  <w:style w:type="paragraph" w:customStyle="1" w:styleId="358">
    <w:name w:val="Encabezado5"/>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59">
    <w:name w:val="Encabezado4"/>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0">
    <w:name w:val="Encabezado3"/>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1">
    <w:name w:val="Encabezado2"/>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2">
    <w:name w:val="Texto comentario2"/>
    <w:basedOn w:val="1"/>
    <w:qFormat/>
    <w:uiPriority w:val="0"/>
    <w:pPr>
      <w:suppressAutoHyphens/>
      <w:spacing w:after="0" w:line="240" w:lineRule="auto"/>
    </w:pPr>
    <w:rPr>
      <w:rFonts w:ascii="Times New Roman" w:hAnsi="Times New Roman" w:eastAsia="Times New Roman" w:cs="Times New Roman"/>
      <w:sz w:val="20"/>
      <w:szCs w:val="20"/>
      <w:lang w:eastAsia="hi-IN" w:bidi="hi-IN"/>
    </w:rPr>
  </w:style>
  <w:style w:type="paragraph" w:customStyle="1" w:styleId="363">
    <w:name w:val="Texto de nota al final"/>
    <w:basedOn w:val="1"/>
    <w:qFormat/>
    <w:uiPriority w:val="0"/>
    <w:pPr>
      <w:widowControl w:val="0"/>
      <w:suppressAutoHyphens/>
      <w:spacing w:after="0" w:line="240" w:lineRule="auto"/>
    </w:pPr>
    <w:rPr>
      <w:rFonts w:ascii="Courier New" w:hAnsi="Courier New" w:eastAsia="Times New Roman" w:cs="Times New Roman"/>
      <w:sz w:val="24"/>
      <w:szCs w:val="20"/>
      <w:lang w:val="es-ES" w:eastAsia="hi-IN" w:bidi="hi-IN"/>
    </w:rPr>
  </w:style>
  <w:style w:type="paragraph" w:customStyle="1" w:styleId="364">
    <w:name w:val="Encabezado1"/>
    <w:basedOn w:val="1"/>
    <w:next w:val="33"/>
    <w:qFormat/>
    <w:uiPriority w:val="0"/>
    <w:pPr>
      <w:keepNext/>
      <w:suppressAutoHyphens/>
      <w:spacing w:before="240" w:after="120" w:line="240" w:lineRule="auto"/>
    </w:pPr>
    <w:rPr>
      <w:rFonts w:ascii="Arial" w:hAnsi="Arial" w:eastAsia="Times New Roman" w:cs="Times New Roman"/>
      <w:sz w:val="28"/>
      <w:szCs w:val="20"/>
      <w:lang w:eastAsia="hi-IN" w:bidi="hi-IN"/>
    </w:rPr>
  </w:style>
  <w:style w:type="paragraph" w:customStyle="1" w:styleId="365">
    <w:name w:val="Lista con viñetas1"/>
    <w:basedOn w:val="1"/>
    <w:qFormat/>
    <w:uiPriority w:val="0"/>
    <w:pPr>
      <w:widowControl w:val="0"/>
      <w:suppressAutoHyphens/>
      <w:spacing w:after="0" w:line="240" w:lineRule="auto"/>
      <w:ind w:left="926" w:hanging="360"/>
    </w:pPr>
    <w:rPr>
      <w:rFonts w:ascii="MS Mincho" w:hAnsi="MS Mincho" w:eastAsia="Times New Roman" w:cs="Times New Roman"/>
      <w:sz w:val="20"/>
      <w:szCs w:val="20"/>
      <w:lang w:val="en-US" w:eastAsia="hi-IN" w:bidi="hi-IN"/>
    </w:rPr>
  </w:style>
  <w:style w:type="paragraph" w:customStyle="1" w:styleId="366">
    <w:name w:val="Lista con viñetas 31"/>
    <w:basedOn w:val="1"/>
    <w:qFormat/>
    <w:uiPriority w:val="0"/>
    <w:pPr>
      <w:suppressAutoHyphens/>
      <w:spacing w:after="0" w:line="240" w:lineRule="auto"/>
      <w:ind w:left="1080"/>
    </w:pPr>
    <w:rPr>
      <w:rFonts w:ascii="Times New Roman" w:hAnsi="Times New Roman" w:eastAsia="Times New Roman" w:cs="Times New Roman"/>
      <w:sz w:val="24"/>
      <w:szCs w:val="20"/>
      <w:lang w:eastAsia="hi-IN" w:bidi="hi-IN"/>
    </w:rPr>
  </w:style>
  <w:style w:type="paragraph" w:customStyle="1" w:styleId="367">
    <w:name w:val="Lista con viñetas 41"/>
    <w:basedOn w:val="1"/>
    <w:qFormat/>
    <w:uiPriority w:val="0"/>
    <w:pPr>
      <w:suppressAutoHyphens/>
      <w:spacing w:after="0" w:line="240" w:lineRule="auto"/>
      <w:ind w:left="1440"/>
    </w:pPr>
    <w:rPr>
      <w:rFonts w:ascii="Times New Roman" w:hAnsi="Times New Roman" w:eastAsia="Times New Roman" w:cs="Times New Roman"/>
      <w:sz w:val="24"/>
      <w:szCs w:val="20"/>
      <w:lang w:eastAsia="hi-IN" w:bidi="hi-IN"/>
    </w:rPr>
  </w:style>
  <w:style w:type="paragraph" w:customStyle="1" w:styleId="368">
    <w:name w:val="Texto independiente 31"/>
    <w:basedOn w:val="1"/>
    <w:qFormat/>
    <w:uiPriority w:val="0"/>
    <w:pPr>
      <w:widowControl w:val="0"/>
      <w:suppressAutoHyphens/>
      <w:spacing w:after="0" w:line="240" w:lineRule="auto"/>
      <w:jc w:val="both"/>
    </w:pPr>
    <w:rPr>
      <w:rFonts w:ascii="Arial" w:hAnsi="Arial" w:eastAsia="Times New Roman" w:cs="Times New Roman"/>
      <w:spacing w:val="-2"/>
      <w:szCs w:val="20"/>
      <w:lang w:eastAsia="hi-IN" w:bidi="hi-IN"/>
    </w:rPr>
  </w:style>
  <w:style w:type="paragraph" w:customStyle="1" w:styleId="369">
    <w:name w:val="Texto comentario1"/>
    <w:basedOn w:val="1"/>
    <w:qFormat/>
    <w:uiPriority w:val="0"/>
    <w:pPr>
      <w:widowControl w:val="0"/>
      <w:suppressAutoHyphens/>
      <w:spacing w:after="0" w:line="240" w:lineRule="auto"/>
    </w:pPr>
    <w:rPr>
      <w:rFonts w:ascii="MS Mincho" w:hAnsi="MS Mincho" w:eastAsia="Times New Roman" w:cs="Times New Roman"/>
      <w:sz w:val="20"/>
      <w:szCs w:val="20"/>
      <w:lang w:eastAsia="hi-IN" w:bidi="hi-IN"/>
    </w:rPr>
  </w:style>
  <w:style w:type="paragraph" w:customStyle="1" w:styleId="370">
    <w:name w:val="Texto independiente 21"/>
    <w:basedOn w:val="1"/>
    <w:qFormat/>
    <w:uiPriority w:val="0"/>
    <w:pPr>
      <w:widowControl w:val="0"/>
      <w:suppressAutoHyphens/>
      <w:spacing w:after="0" w:line="240" w:lineRule="auto"/>
      <w:jc w:val="both"/>
    </w:pPr>
    <w:rPr>
      <w:rFonts w:ascii="Arial" w:hAnsi="Arial" w:eastAsia="Times New Roman" w:cs="Times New Roman"/>
      <w:color w:val="000000"/>
      <w:szCs w:val="20"/>
      <w:lang w:val="es-ES" w:eastAsia="hi-IN" w:bidi="hi-IN"/>
    </w:rPr>
  </w:style>
  <w:style w:type="paragraph" w:customStyle="1" w:styleId="371">
    <w:name w:val="Sangría 2 de t. independiente1"/>
    <w:basedOn w:val="1"/>
    <w:qFormat/>
    <w:uiPriority w:val="0"/>
    <w:pPr>
      <w:widowControl w:val="0"/>
      <w:suppressAutoHyphens/>
      <w:spacing w:after="0" w:line="240" w:lineRule="auto"/>
      <w:ind w:left="1418"/>
      <w:jc w:val="both"/>
    </w:pPr>
    <w:rPr>
      <w:rFonts w:ascii="Arial" w:hAnsi="Arial" w:eastAsia="Times New Roman" w:cs="Times New Roman"/>
      <w:color w:val="0000FF"/>
      <w:szCs w:val="20"/>
      <w:lang w:val="es-ES" w:eastAsia="hi-IN" w:bidi="hi-IN"/>
    </w:rPr>
  </w:style>
  <w:style w:type="character" w:customStyle="1" w:styleId="372">
    <w:name w:val="Subtítulo Car"/>
    <w:basedOn w:val="38"/>
    <w:link w:val="32"/>
    <w:qFormat/>
    <w:uiPriority w:val="0"/>
    <w:rPr>
      <w:rFonts w:ascii="Arial" w:hAnsi="Arial" w:eastAsia="Times New Roman" w:cs="Times New Roman"/>
      <w:b/>
      <w:spacing w:val="-2"/>
      <w:sz w:val="20"/>
      <w:szCs w:val="20"/>
      <w:lang w:eastAsia="hi-IN" w:bidi="hi-IN"/>
    </w:rPr>
  </w:style>
  <w:style w:type="paragraph" w:customStyle="1" w:styleId="373">
    <w:name w:val="xl32"/>
    <w:basedOn w:val="1"/>
    <w:qFormat/>
    <w:uiPriority w:val="0"/>
    <w:pPr>
      <w:suppressAutoHyphens/>
      <w:spacing w:before="280" w:after="280" w:line="240" w:lineRule="auto"/>
    </w:pPr>
    <w:rPr>
      <w:rFonts w:ascii="Arial" w:hAnsi="Arial" w:eastAsia="Times New Roman" w:cs="Times New Roman"/>
      <w:sz w:val="18"/>
      <w:szCs w:val="20"/>
      <w:lang w:val="es-ES" w:eastAsia="hi-IN" w:bidi="hi-IN"/>
    </w:rPr>
  </w:style>
  <w:style w:type="paragraph" w:customStyle="1" w:styleId="374">
    <w:name w:val="font5"/>
    <w:basedOn w:val="1"/>
    <w:qFormat/>
    <w:uiPriority w:val="0"/>
    <w:pPr>
      <w:suppressAutoHyphens/>
      <w:spacing w:before="280" w:after="280" w:line="240" w:lineRule="auto"/>
    </w:pPr>
    <w:rPr>
      <w:rFonts w:ascii="Arial" w:hAnsi="Arial" w:eastAsia="Times New Roman" w:cs="Times New Roman"/>
      <w:sz w:val="14"/>
      <w:szCs w:val="20"/>
      <w:lang w:val="es-ES" w:eastAsia="hi-IN" w:bidi="hi-IN"/>
    </w:rPr>
  </w:style>
  <w:style w:type="paragraph" w:customStyle="1" w:styleId="375">
    <w:name w:val="xl69"/>
    <w:basedOn w:val="1"/>
    <w:qFormat/>
    <w:uiPriority w:val="0"/>
    <w:pPr>
      <w:suppressAutoHyphens/>
      <w:spacing w:before="280" w:after="280" w:line="240" w:lineRule="auto"/>
    </w:pPr>
    <w:rPr>
      <w:rFonts w:ascii="Arial" w:hAnsi="Arial" w:eastAsia="Times New Roman" w:cs="Times New Roman"/>
      <w:b/>
      <w:sz w:val="18"/>
      <w:szCs w:val="20"/>
      <w:lang w:val="es-ES" w:eastAsia="hi-IN" w:bidi="hi-IN"/>
    </w:rPr>
  </w:style>
  <w:style w:type="paragraph" w:customStyle="1" w:styleId="376">
    <w:name w:val="Sangría 3 de t. independiente1"/>
    <w:basedOn w:val="1"/>
    <w:qFormat/>
    <w:uiPriority w:val="0"/>
    <w:pPr>
      <w:widowControl w:val="0"/>
      <w:suppressAutoHyphens/>
      <w:spacing w:after="0" w:line="240" w:lineRule="auto"/>
      <w:ind w:left="284" w:hanging="284"/>
      <w:jc w:val="both"/>
    </w:pPr>
    <w:rPr>
      <w:rFonts w:ascii="Arial" w:hAnsi="Arial" w:eastAsia="Times New Roman" w:cs="Times New Roman"/>
      <w:color w:val="0000FF"/>
      <w:sz w:val="20"/>
      <w:szCs w:val="20"/>
      <w:lang w:val="es-ES" w:eastAsia="hi-IN" w:bidi="hi-IN"/>
    </w:rPr>
  </w:style>
  <w:style w:type="paragraph" w:customStyle="1" w:styleId="377">
    <w:name w:val="xl33"/>
    <w:basedOn w:val="1"/>
    <w:qFormat/>
    <w:uiPriority w:val="0"/>
    <w:pPr>
      <w:suppressAutoHyphens/>
      <w:spacing w:before="280" w:after="280" w:line="240" w:lineRule="auto"/>
    </w:pPr>
    <w:rPr>
      <w:rFonts w:ascii="Arial" w:hAnsi="Arial" w:eastAsia="Times New Roman" w:cs="Times New Roman"/>
      <w:b/>
      <w:color w:val="000000"/>
      <w:sz w:val="18"/>
      <w:szCs w:val="20"/>
      <w:lang w:val="es-ES" w:eastAsia="hi-IN" w:bidi="hi-IN"/>
    </w:rPr>
  </w:style>
  <w:style w:type="paragraph" w:customStyle="1" w:styleId="378">
    <w:name w:val="xl107"/>
    <w:basedOn w:val="1"/>
    <w:qFormat/>
    <w:uiPriority w:val="0"/>
    <w:pPr>
      <w:suppressAutoHyphens/>
      <w:spacing w:before="280" w:after="280" w:line="240" w:lineRule="auto"/>
    </w:pPr>
    <w:rPr>
      <w:rFonts w:ascii="Bookman Old Style" w:hAnsi="Bookman Old Style" w:eastAsia="Times New Roman" w:cs="Times New Roman"/>
      <w:b/>
      <w:sz w:val="16"/>
      <w:szCs w:val="20"/>
      <w:lang w:val="es-ES" w:eastAsia="hi-IN" w:bidi="hi-IN"/>
    </w:rPr>
  </w:style>
  <w:style w:type="paragraph" w:customStyle="1" w:styleId="379">
    <w:name w:val="xl59"/>
    <w:basedOn w:val="1"/>
    <w:qFormat/>
    <w:uiPriority w:val="0"/>
    <w:pPr>
      <w:suppressAutoHyphens/>
      <w:spacing w:before="280" w:after="280" w:line="240" w:lineRule="auto"/>
      <w:jc w:val="center"/>
    </w:pPr>
    <w:rPr>
      <w:rFonts w:ascii="Arial" w:hAnsi="Arial" w:eastAsia="Times New Roman" w:cs="Times New Roman"/>
      <w:sz w:val="18"/>
      <w:szCs w:val="20"/>
      <w:lang w:val="es-ES" w:eastAsia="hi-IN" w:bidi="hi-IN"/>
    </w:rPr>
  </w:style>
  <w:style w:type="character" w:customStyle="1" w:styleId="380">
    <w:name w:val="Puesto Car"/>
    <w:basedOn w:val="38"/>
    <w:link w:val="37"/>
    <w:qFormat/>
    <w:uiPriority w:val="0"/>
    <w:rPr>
      <w:rFonts w:ascii="Courier New" w:hAnsi="Courier New" w:eastAsia="Times New Roman" w:cs="Times New Roman"/>
      <w:sz w:val="24"/>
      <w:szCs w:val="20"/>
      <w:lang w:val="es-ES" w:eastAsia="hi-IN" w:bidi="hi-IN"/>
    </w:rPr>
  </w:style>
  <w:style w:type="paragraph" w:customStyle="1" w:styleId="381">
    <w:name w:val="Mapa del documento1"/>
    <w:basedOn w:val="1"/>
    <w:qFormat/>
    <w:uiPriority w:val="0"/>
    <w:pPr>
      <w:shd w:val="clear" w:color="auto" w:fill="000080"/>
      <w:suppressAutoHyphens/>
      <w:spacing w:after="0" w:line="240" w:lineRule="auto"/>
    </w:pPr>
    <w:rPr>
      <w:rFonts w:ascii="Tahoma" w:hAnsi="Tahoma" w:eastAsia="Times New Roman" w:cs="Times New Roman"/>
      <w:sz w:val="24"/>
      <w:szCs w:val="20"/>
      <w:lang w:eastAsia="hi-IN" w:bidi="hi-IN"/>
    </w:rPr>
  </w:style>
  <w:style w:type="paragraph" w:customStyle="1" w:styleId="382">
    <w:name w:val="Texto independiente 22"/>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3">
    <w:name w:val="Firma Car"/>
    <w:basedOn w:val="38"/>
    <w:link w:val="25"/>
    <w:qFormat/>
    <w:uiPriority w:val="0"/>
    <w:rPr>
      <w:rFonts w:ascii="Times New Roman" w:hAnsi="Times New Roman" w:eastAsia="Times New Roman" w:cs="Times New Roman"/>
      <w:sz w:val="24"/>
      <w:szCs w:val="20"/>
      <w:lang w:val="es-ES" w:eastAsia="hi-IN" w:bidi="hi-IN"/>
    </w:rPr>
  </w:style>
  <w:style w:type="paragraph" w:customStyle="1" w:styleId="384">
    <w:name w:val="Encabezado de la tabla"/>
    <w:basedOn w:val="66"/>
    <w:qFormat/>
    <w:uiPriority w:val="0"/>
    <w:pPr>
      <w:jc w:val="center"/>
    </w:pPr>
    <w:rPr>
      <w:b/>
    </w:rPr>
  </w:style>
  <w:style w:type="paragraph" w:customStyle="1" w:styleId="385">
    <w:name w:val="Contenido del marco"/>
    <w:basedOn w:val="33"/>
    <w:qFormat/>
    <w:uiPriority w:val="0"/>
  </w:style>
  <w:style w:type="paragraph" w:customStyle="1" w:styleId="386">
    <w:name w:val="Texto independiente 33"/>
    <w:basedOn w:val="1"/>
    <w:qFormat/>
    <w:uiPriority w:val="0"/>
    <w:pPr>
      <w:widowControl w:val="0"/>
      <w:suppressAutoHyphens/>
      <w:spacing w:after="120" w:line="240" w:lineRule="auto"/>
    </w:pPr>
    <w:rPr>
      <w:rFonts w:ascii="Courier New" w:hAnsi="Courier New" w:eastAsia="Times New Roman" w:cs="Times New Roman"/>
      <w:sz w:val="16"/>
      <w:szCs w:val="20"/>
      <w:lang w:val="es-ES" w:eastAsia="hi-IN" w:bidi="hi-IN"/>
    </w:rPr>
  </w:style>
  <w:style w:type="paragraph" w:customStyle="1" w:styleId="387">
    <w:name w:val="Texto independiente 23"/>
    <w:basedOn w:val="1"/>
    <w:qFormat/>
    <w:uiPriority w:val="0"/>
    <w:pPr>
      <w:widowControl w:val="0"/>
      <w:suppressAutoHyphens/>
      <w:spacing w:after="0" w:line="240" w:lineRule="auto"/>
      <w:jc w:val="both"/>
    </w:pPr>
    <w:rPr>
      <w:rFonts w:ascii="Arial" w:hAnsi="Arial" w:eastAsia="Times New Roman" w:cs="Times New Roman"/>
      <w:sz w:val="24"/>
      <w:szCs w:val="20"/>
      <w:lang w:val="es-ES" w:eastAsia="hi-IN" w:bidi="hi-IN"/>
    </w:rPr>
  </w:style>
  <w:style w:type="character" w:customStyle="1" w:styleId="388">
    <w:name w:val="nrmar"/>
    <w:qFormat/>
    <w:uiPriority w:val="0"/>
  </w:style>
  <w:style w:type="paragraph" w:customStyle="1" w:styleId="389">
    <w:name w:val="No Spacing"/>
    <w:qFormat/>
    <w:uiPriority w:val="1"/>
    <w:pPr>
      <w:suppressAutoHyphens/>
      <w:spacing w:after="0" w:line="240" w:lineRule="auto"/>
    </w:pPr>
    <w:rPr>
      <w:rFonts w:ascii="Times New Roman" w:hAnsi="Times New Roman" w:eastAsia="Times New Roman" w:cs="Mangal"/>
      <w:sz w:val="24"/>
      <w:szCs w:val="20"/>
      <w:lang w:val="es-EC" w:eastAsia="hi-IN" w:bidi="hi-IN"/>
    </w:rPr>
  </w:style>
  <w:style w:type="character" w:customStyle="1" w:styleId="390">
    <w:name w:val="Texto nota al final Car"/>
    <w:link w:val="13"/>
    <w:semiHidden/>
    <w:qFormat/>
    <w:locked/>
    <w:uiPriority w:val="0"/>
    <w:rPr>
      <w:rFonts w:ascii="Courier New" w:hAnsi="Courier New" w:cs="Courier New"/>
      <w:snapToGrid w:val="0"/>
      <w:sz w:val="24"/>
    </w:rPr>
  </w:style>
  <w:style w:type="character" w:customStyle="1" w:styleId="391">
    <w:name w:val="Texto nota al final Car1"/>
    <w:basedOn w:val="38"/>
    <w:semiHidden/>
    <w:qFormat/>
    <w:uiPriority w:val="99"/>
    <w:rPr>
      <w:sz w:val="20"/>
      <w:szCs w:val="20"/>
    </w:rPr>
  </w:style>
  <w:style w:type="paragraph" w:customStyle="1" w:styleId="392">
    <w:name w:val="xl64"/>
    <w:basedOn w:val="1"/>
    <w:qFormat/>
    <w:uiPriority w:val="0"/>
    <w:pPr>
      <w:spacing w:before="100" w:beforeAutospacing="1" w:after="100" w:afterAutospacing="1" w:line="240" w:lineRule="auto"/>
    </w:pPr>
    <w:rPr>
      <w:rFonts w:ascii="Calibri" w:hAnsi="Calibri" w:eastAsia="Times New Roman" w:cs="Times New Roman"/>
      <w:sz w:val="24"/>
      <w:szCs w:val="24"/>
    </w:rPr>
  </w:style>
  <w:style w:type="paragraph" w:customStyle="1" w:styleId="393">
    <w:name w:val="xl65"/>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4">
    <w:name w:val="xl66"/>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5">
    <w:name w:val="xl6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Calibri" w:hAnsi="Calibri" w:eastAsia="Times New Roman" w:cs="Times New Roman"/>
      <w:b/>
      <w:bCs/>
      <w:color w:val="000000"/>
      <w:sz w:val="24"/>
      <w:szCs w:val="24"/>
    </w:rPr>
  </w:style>
  <w:style w:type="paragraph" w:customStyle="1" w:styleId="396">
    <w:name w:val="xl68"/>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397">
    <w:name w:val="xl70"/>
    <w:basedOn w:val="1"/>
    <w:qFormat/>
    <w:uiPriority w:val="0"/>
    <w:pPr>
      <w:pBdr>
        <w:top w:val="single" w:color="auto" w:sz="4" w:space="0"/>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8">
    <w:name w:val="xl7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399">
    <w:name w:val="xl7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0">
    <w:name w:val="xl73"/>
    <w:basedOn w:val="1"/>
    <w:qFormat/>
    <w:uiPriority w:val="0"/>
    <w:pPr>
      <w:spacing w:before="100" w:beforeAutospacing="1" w:after="100" w:afterAutospacing="1" w:line="240" w:lineRule="auto"/>
      <w:jc w:val="center"/>
      <w:textAlignment w:val="center"/>
    </w:pPr>
    <w:rPr>
      <w:rFonts w:ascii="Calibri" w:hAnsi="Calibri" w:eastAsia="Times New Roman" w:cs="Times New Roman"/>
      <w:sz w:val="24"/>
      <w:szCs w:val="24"/>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3">
    <w:name w:val="xl7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4">
    <w:name w:val="xl7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5">
    <w:name w:val="xl79"/>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06">
    <w:name w:val="xl8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7">
    <w:name w:val="xl81"/>
    <w:basedOn w:val="1"/>
    <w:qFormat/>
    <w:uiPriority w:val="0"/>
    <w:pPr>
      <w:pBdr>
        <w:top w:val="single" w:color="auto" w:sz="4" w:space="0"/>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0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09">
    <w:name w:val="xl8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0">
    <w:name w:val="xl8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1">
    <w:name w:val="xl8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2">
    <w:name w:val="xl8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3">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14">
    <w:name w:val="xl8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5">
    <w:name w:val="xl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16">
    <w:name w:val="xl90"/>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417">
    <w:name w:val="xl91"/>
    <w:basedOn w:val="1"/>
    <w:qFormat/>
    <w:uiPriority w:val="0"/>
    <w:pPr>
      <w:spacing w:before="100" w:beforeAutospacing="1" w:after="100" w:afterAutospacing="1" w:line="240" w:lineRule="auto"/>
      <w:textAlignment w:val="center"/>
    </w:pPr>
    <w:rPr>
      <w:rFonts w:ascii="Calibri" w:hAnsi="Calibri" w:eastAsia="Times New Roman" w:cs="Times New Roman"/>
      <w:sz w:val="24"/>
      <w:szCs w:val="24"/>
    </w:rPr>
  </w:style>
  <w:style w:type="paragraph" w:customStyle="1" w:styleId="41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19">
    <w:name w:val="xl9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0">
    <w:name w:val="xl9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1">
    <w:name w:val="xl9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22">
    <w:name w:val="xl96"/>
    <w:basedOn w:val="1"/>
    <w:qFormat/>
    <w:uiPriority w:val="0"/>
    <w:pPr>
      <w:spacing w:before="100" w:beforeAutospacing="1" w:after="100" w:afterAutospacing="1" w:line="240" w:lineRule="auto"/>
      <w:jc w:val="right"/>
      <w:textAlignment w:val="center"/>
    </w:pPr>
    <w:rPr>
      <w:rFonts w:ascii="Times New Roman" w:hAnsi="Times New Roman" w:eastAsia="Times New Roman" w:cs="Times New Roman"/>
      <w:sz w:val="24"/>
      <w:szCs w:val="24"/>
    </w:rPr>
  </w:style>
  <w:style w:type="paragraph" w:customStyle="1" w:styleId="423">
    <w:name w:val="xl97"/>
    <w:basedOn w:val="1"/>
    <w:qFormat/>
    <w:uiPriority w:val="0"/>
    <w:pPr>
      <w:spacing w:before="100" w:beforeAutospacing="1" w:after="100" w:afterAutospacing="1" w:line="240" w:lineRule="auto"/>
      <w:jc w:val="right"/>
      <w:textAlignment w:val="center"/>
    </w:pPr>
    <w:rPr>
      <w:rFonts w:ascii="Calibri" w:hAnsi="Calibri" w:eastAsia="Times New Roman" w:cs="Times New Roman"/>
      <w:sz w:val="24"/>
      <w:szCs w:val="24"/>
    </w:rPr>
  </w:style>
  <w:style w:type="paragraph" w:customStyle="1" w:styleId="424">
    <w:name w:val="xl9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5">
    <w:name w:val="xl9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6">
    <w:name w:val="xl100"/>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7">
    <w:name w:val="xl10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8">
    <w:name w:val="xl102"/>
    <w:basedOn w:val="1"/>
    <w:qFormat/>
    <w:uiPriority w:val="0"/>
    <w:pPr>
      <w:pBdr>
        <w:left w:val="single" w:color="auto" w:sz="4" w:space="0"/>
        <w:right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29">
    <w:name w:val="xl10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0">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31">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2">
    <w:name w:val="xl10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33">
    <w:name w:val="xl108"/>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4">
    <w:name w:val="xl10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rPr>
  </w:style>
  <w:style w:type="paragraph" w:customStyle="1" w:styleId="435">
    <w:name w:val="xl11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36">
    <w:name w:val="xl11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7">
    <w:name w:val="xl112"/>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38">
    <w:name w:val="xl113"/>
    <w:basedOn w:val="1"/>
    <w:qFormat/>
    <w:uiPriority w:val="0"/>
    <w:pPr>
      <w:pBdr>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39">
    <w:name w:val="xl114"/>
    <w:basedOn w:val="1"/>
    <w:qFormat/>
    <w:uiPriority w:val="0"/>
    <w:pPr>
      <w:pBdr>
        <w:left w:val="single" w:color="auto" w:sz="4" w:space="0"/>
        <w:bottom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0">
    <w:name w:val="xl115"/>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1">
    <w:name w:val="xl116"/>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42">
    <w:name w:val="xl11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3">
    <w:name w:val="xl118"/>
    <w:basedOn w:val="1"/>
    <w:qFormat/>
    <w:uiPriority w:val="0"/>
    <w:pPr>
      <w:pBdr>
        <w:left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4">
    <w:name w:val="xl11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5">
    <w:name w:val="xl120"/>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46">
    <w:name w:val="xl12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6"/>
      <w:szCs w:val="16"/>
    </w:rPr>
  </w:style>
  <w:style w:type="paragraph" w:customStyle="1" w:styleId="447">
    <w:name w:val="xl122"/>
    <w:basedOn w:val="1"/>
    <w:qFormat/>
    <w:uiPriority w:val="0"/>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8">
    <w:name w:val="xl123"/>
    <w:basedOn w:val="1"/>
    <w:qFormat/>
    <w:uiPriority w:val="0"/>
    <w:pPr>
      <w:pBdr>
        <w:left w:val="single" w:color="auto" w:sz="4" w:space="0"/>
        <w:right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49">
    <w:name w:val="xl124"/>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0">
    <w:name w:val="xl125"/>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51">
    <w:name w:val="xl126"/>
    <w:basedOn w:val="1"/>
    <w:qFormat/>
    <w:uiPriority w:val="0"/>
    <w:pPr>
      <w:pBdr>
        <w:top w:val="single" w:color="auto" w:sz="8" w:space="0"/>
        <w:bottom w:val="single" w:color="auto" w:sz="8" w:space="0"/>
      </w:pBdr>
      <w:spacing w:before="100" w:beforeAutospacing="1" w:after="100" w:afterAutospacing="1" w:line="240" w:lineRule="auto"/>
      <w:jc w:val="right"/>
      <w:textAlignment w:val="center"/>
    </w:pPr>
    <w:rPr>
      <w:rFonts w:ascii="Arial" w:hAnsi="Arial" w:eastAsia="Times New Roman" w:cs="Arial"/>
      <w:sz w:val="16"/>
      <w:szCs w:val="16"/>
    </w:rPr>
  </w:style>
  <w:style w:type="paragraph" w:customStyle="1" w:styleId="452">
    <w:name w:val="xl12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sz w:val="16"/>
      <w:szCs w:val="16"/>
    </w:rPr>
  </w:style>
  <w:style w:type="paragraph" w:customStyle="1" w:styleId="453">
    <w:name w:val="xl128"/>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4">
    <w:name w:val="xl12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5">
    <w:name w:val="xl13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rPr>
  </w:style>
  <w:style w:type="paragraph" w:customStyle="1" w:styleId="456">
    <w:name w:val="xl13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rPr>
  </w:style>
  <w:style w:type="paragraph" w:customStyle="1" w:styleId="457">
    <w:name w:val="xl132"/>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8">
    <w:name w:val="xl133"/>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i/>
      <w:iCs/>
      <w:sz w:val="16"/>
      <w:szCs w:val="16"/>
    </w:rPr>
  </w:style>
  <w:style w:type="paragraph" w:customStyle="1" w:styleId="459">
    <w:name w:val="xl134"/>
    <w:basedOn w:val="1"/>
    <w:qFormat/>
    <w:uiPriority w:val="0"/>
    <w:pPr>
      <w:pBdr>
        <w:top w:val="single" w:color="auto" w:sz="8" w:space="0"/>
        <w:left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0">
    <w:name w:val="xl135"/>
    <w:basedOn w:val="1"/>
    <w:qFormat/>
    <w:uiPriority w:val="0"/>
    <w:pPr>
      <w:pBdr>
        <w:top w:val="single" w:color="auto" w:sz="8" w:space="0"/>
        <w:bottom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1">
    <w:name w:val="xl136"/>
    <w:basedOn w:val="1"/>
    <w:qFormat/>
    <w:uiPriority w:val="0"/>
    <w:pPr>
      <w:pBdr>
        <w:top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16"/>
      <w:szCs w:val="16"/>
    </w:rPr>
  </w:style>
  <w:style w:type="paragraph" w:customStyle="1" w:styleId="46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rPr>
  </w:style>
  <w:style w:type="paragraph" w:customStyle="1" w:styleId="463">
    <w:name w:val="CUERPO_TEXTO"/>
    <w:basedOn w:val="1"/>
    <w:qFormat/>
    <w:uiPriority w:val="9"/>
    <w:pPr>
      <w:spacing w:after="120" w:line="240" w:lineRule="auto"/>
      <w:jc w:val="both"/>
    </w:pPr>
    <w:rPr>
      <w:rFonts w:ascii="Verdana" w:hAnsi="Verdana" w:cs="Verdana"/>
      <w:sz w:val="18"/>
      <w:lang w:val="es-ES" w:eastAsia="es-ES"/>
    </w:rPr>
  </w:style>
  <w:style w:type="paragraph" w:customStyle="1" w:styleId="464">
    <w:name w:val="et3"/>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5">
    <w:name w:val="et4"/>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6">
    <w:name w:val="et5"/>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7">
    <w:name w:val="et6"/>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8">
    <w:name w:val="et7"/>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69">
    <w:name w:val="et8"/>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0">
    <w:name w:val="et9"/>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1">
    <w:name w:val="et10"/>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2">
    <w:name w:val="et11"/>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3">
    <w:name w:val="et12"/>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4">
    <w:name w:val="et13"/>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5">
    <w:name w:val="et14"/>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6">
    <w:name w:val="et15"/>
    <w:basedOn w:val="1"/>
    <w:qFormat/>
    <w:uiPriority w:val="0"/>
    <w:pPr>
      <w:spacing w:before="100" w:beforeAutospacing="1" w:after="100" w:afterAutospacing="1" w:line="240" w:lineRule="auto"/>
      <w:textAlignment w:val="bottom"/>
    </w:pPr>
    <w:rPr>
      <w:rFonts w:ascii="Calibri" w:hAnsi="Calibri" w:eastAsia="Times New Roman" w:cs="Calibri"/>
      <w:color w:val="000000"/>
      <w:sz w:val="20"/>
      <w:szCs w:val="20"/>
    </w:rPr>
  </w:style>
  <w:style w:type="paragraph" w:customStyle="1" w:styleId="477">
    <w:name w:val="et16"/>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8">
    <w:name w:val="et17"/>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79">
    <w:name w:val="et18"/>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0">
    <w:name w:val="et19"/>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1">
    <w:name w:val="et20"/>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2">
    <w:name w:val="et21"/>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3">
    <w:name w:val="et22"/>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4">
    <w:name w:val="et23"/>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5">
    <w:name w:val="et24"/>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 w:type="paragraph" w:customStyle="1" w:styleId="486">
    <w:name w:val="et25"/>
    <w:basedOn w:val="1"/>
    <w:qFormat/>
    <w:uiPriority w:val="0"/>
    <w:pPr>
      <w:spacing w:before="100" w:beforeAutospacing="1" w:after="100" w:afterAutospacing="1" w:line="240" w:lineRule="auto"/>
      <w:textAlignment w:val="bottom"/>
    </w:pPr>
    <w:rPr>
      <w:rFonts w:ascii="Arial" w:hAnsi="Arial" w:eastAsia="Times New Roman" w:cs="Arial"/>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9E465-012C-4AA1-BAC3-53C61779B05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35249</Words>
  <Characters>193870</Characters>
  <Lines>1615</Lines>
  <Paragraphs>457</Paragraphs>
  <ScaleCrop>false</ScaleCrop>
  <LinksUpToDate>false</LinksUpToDate>
  <CharactersWithSpaces>228662</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2018-11-19T21:23:00Z</dcterms:created>
  <dc:creator>Olga B. Vargas Vázquez</dc:creator>
  <cp:lastModifiedBy>dmolina</cp:lastModifiedBy>
  <cp:lastPrinted>2019-02-25T21:45:00Z</cp:lastPrinted>
  <dcterms:modified xsi:type="dcterms:W3CDTF">2019-02-27T20:26:33Z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