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Arial" w:hAnsi="Arial" w:eastAsia="Times New Roman" w:cs="Arial"/>
          <w:b/>
          <w:szCs w:val="24"/>
          <w:lang w:eastAsia="hi-IN" w:bidi="hi-IN"/>
        </w:rPr>
      </w:pPr>
      <w:bookmarkStart w:id="0" w:name="_GoBack"/>
      <w:bookmarkEnd w:id="0"/>
    </w:p>
    <w:p>
      <w:pPr>
        <w:suppressAutoHyphens/>
        <w:spacing w:after="0" w:line="240" w:lineRule="auto"/>
        <w:jc w:val="center"/>
        <w:rPr>
          <w:rFonts w:ascii="Arial" w:hAnsi="Arial" w:eastAsia="Times New Roman" w:cs="Arial"/>
          <w:b/>
          <w:szCs w:val="24"/>
          <w:lang w:eastAsia="hi-IN" w:bidi="hi-IN"/>
        </w:rPr>
      </w:pPr>
    </w:p>
    <w:p>
      <w:pPr>
        <w:suppressAutoHyphens/>
        <w:spacing w:after="0" w:line="240" w:lineRule="auto"/>
        <w:jc w:val="center"/>
        <w:rPr>
          <w:rFonts w:ascii="Arial" w:hAnsi="Arial" w:eastAsia="Times New Roman" w:cs="Arial"/>
          <w:b/>
          <w:szCs w:val="24"/>
          <w:lang w:eastAsia="hi-IN" w:bidi="hi-IN"/>
        </w:rPr>
      </w:pPr>
      <w:r>
        <w:rPr>
          <w:rFonts w:ascii="Arial" w:hAnsi="Arial" w:eastAsia="Times New Roman" w:cs="Arial"/>
          <w:b/>
          <w:szCs w:val="24"/>
          <w:lang w:eastAsia="hi-IN" w:bidi="hi-IN"/>
        </w:rPr>
        <w:t>PLIEGO DEL PROCEDIMIENTO DE CONTRATACIÓN DE OBRAS PARA PAVIMENTO FLEXIBLE, CORRESPONDIENTE AL GRUPO 5</w:t>
      </w:r>
    </w:p>
    <w:p>
      <w:pPr>
        <w:suppressAutoHyphens/>
        <w:spacing w:after="0" w:line="240" w:lineRule="auto"/>
        <w:jc w:val="center"/>
        <w:rPr>
          <w:rFonts w:ascii="Times New Roman" w:hAnsi="Times New Roman" w:eastAsia="Times New Roman" w:cs="Times New Roman"/>
          <w:szCs w:val="20"/>
          <w:lang w:eastAsia="hi-IN" w:bidi="hi-IN"/>
        </w:rPr>
      </w:pPr>
    </w:p>
    <w:p>
      <w:pPr>
        <w:suppressAutoHyphens/>
        <w:spacing w:after="0" w:line="240" w:lineRule="auto"/>
        <w:jc w:val="center"/>
        <w:rPr>
          <w:rFonts w:ascii="Times New Roman" w:hAnsi="Times New Roman" w:eastAsia="Times New Roman" w:cs="Times New Roman"/>
          <w:szCs w:val="20"/>
          <w:lang w:eastAsia="hi-IN" w:bidi="hi-IN"/>
        </w:rPr>
      </w:pPr>
    </w:p>
    <w:p>
      <w:pPr>
        <w:suppressAutoHyphens/>
        <w:spacing w:after="0" w:line="240" w:lineRule="auto"/>
        <w:jc w:val="center"/>
        <w:rPr>
          <w:rFonts w:ascii="Times New Roman" w:hAnsi="Times New Roman" w:eastAsia="Times New Roman" w:cs="Times New Roman"/>
          <w:szCs w:val="20"/>
          <w:lang w:eastAsia="hi-IN" w:bidi="hi-IN"/>
        </w:rPr>
      </w:pPr>
    </w:p>
    <w:p>
      <w:pPr>
        <w:suppressAutoHyphens/>
        <w:spacing w:after="0" w:line="240" w:lineRule="auto"/>
        <w:jc w:val="center"/>
        <w:rPr>
          <w:rFonts w:ascii="Times New Roman" w:hAnsi="Times New Roman" w:eastAsia="Times New Roman" w:cs="Times New Roman"/>
          <w:szCs w:val="20"/>
          <w:lang w:eastAsia="hi-IN" w:bidi="hi-IN"/>
        </w:rPr>
      </w:pPr>
      <w:r>
        <w:rPr>
          <w:rFonts w:ascii="Times New Roman" w:hAnsi="Times New Roman" w:eastAsia="Times New Roman" w:cs="Times New Roman"/>
          <w:szCs w:val="20"/>
          <w:lang w:eastAsia="hi-IN" w:bidi="hi-IN"/>
        </w:rPr>
        <w:t>PROGRAMA  BARRIO PARA MEJOR VIVIR FASE II</w:t>
      </w:r>
    </w:p>
    <w:p>
      <w:pPr>
        <w:tabs>
          <w:tab w:val="left" w:pos="7830"/>
        </w:tabs>
        <w:suppressAutoHyphens/>
        <w:spacing w:after="0" w:line="240" w:lineRule="auto"/>
        <w:rPr>
          <w:rFonts w:ascii="Times New Roman" w:hAnsi="Times New Roman" w:eastAsia="Times New Roman" w:cs="Times New Roman"/>
          <w:szCs w:val="20"/>
          <w:lang w:eastAsia="hi-IN" w:bidi="hi-IN"/>
        </w:rPr>
      </w:pPr>
      <w:r>
        <w:rPr>
          <w:rFonts w:ascii="Times New Roman" w:hAnsi="Times New Roman" w:eastAsia="Times New Roman" w:cs="Times New Roman"/>
          <w:szCs w:val="20"/>
          <w:lang w:eastAsia="hi-IN" w:bidi="hi-IN"/>
        </w:rPr>
        <w:tab/>
      </w:r>
    </w:p>
    <w:p>
      <w:pPr>
        <w:keepNext/>
        <w:keepLines/>
        <w:suppressAutoHyphens/>
        <w:spacing w:after="0" w:line="240" w:lineRule="auto"/>
        <w:jc w:val="center"/>
        <w:outlineLvl w:val="7"/>
        <w:rPr>
          <w:rFonts w:ascii="Times New Roman" w:hAnsi="Times New Roman" w:eastAsia="Times New Roman" w:cs="Times New Roman"/>
          <w:b/>
          <w:i/>
          <w:sz w:val="28"/>
          <w:szCs w:val="32"/>
          <w:lang w:eastAsia="hi-IN"/>
        </w:rPr>
      </w:pPr>
      <w:r>
        <w:rPr>
          <w:rFonts w:ascii="Times New Roman" w:hAnsi="Times New Roman" w:eastAsia="Times New Roman" w:cs="Times New Roman"/>
          <w:b/>
          <w:i/>
          <w:sz w:val="28"/>
          <w:szCs w:val="32"/>
          <w:lang w:eastAsia="hi-IN"/>
        </w:rPr>
        <w:t>GOBIERNO AUTÓNOMO DESCENTRALIZADO</w:t>
      </w:r>
    </w:p>
    <w:p>
      <w:pPr>
        <w:keepNext/>
        <w:keepLines/>
        <w:suppressAutoHyphens/>
        <w:spacing w:after="0" w:line="240" w:lineRule="auto"/>
        <w:jc w:val="center"/>
        <w:outlineLvl w:val="7"/>
        <w:rPr>
          <w:rFonts w:ascii="Times New Roman" w:hAnsi="Times New Roman" w:eastAsia="Times New Roman" w:cs="Times New Roman"/>
          <w:b/>
          <w:i/>
          <w:sz w:val="28"/>
          <w:szCs w:val="32"/>
          <w:lang w:eastAsia="hi-IN"/>
        </w:rPr>
      </w:pPr>
      <w:r>
        <w:rPr>
          <w:rFonts w:ascii="Times New Roman" w:hAnsi="Times New Roman" w:eastAsia="Times New Roman" w:cs="Times New Roman"/>
          <w:b/>
          <w:i/>
          <w:sz w:val="28"/>
          <w:szCs w:val="32"/>
          <w:lang w:eastAsia="hi-IN"/>
        </w:rPr>
        <w:t xml:space="preserve"> MUNICIPAL DEL CANTÓN CUENCA</w:t>
      </w:r>
    </w:p>
    <w:p>
      <w:pPr>
        <w:suppressAutoHyphens/>
        <w:spacing w:after="0" w:line="240" w:lineRule="auto"/>
        <w:jc w:val="center"/>
        <w:rPr>
          <w:rFonts w:ascii="Times New Roman" w:hAnsi="Times New Roman" w:eastAsia="Times New Roman" w:cs="Times New Roman"/>
          <w:szCs w:val="20"/>
          <w:lang w:eastAsia="hi-IN" w:bidi="hi-IN"/>
        </w:rPr>
      </w:pPr>
    </w:p>
    <w:p>
      <w:pPr>
        <w:suppressAutoHyphens/>
        <w:spacing w:after="0" w:line="240" w:lineRule="auto"/>
        <w:jc w:val="center"/>
        <w:rPr>
          <w:rFonts w:ascii="Times New Roman" w:hAnsi="Times New Roman" w:eastAsia="Times New Roman" w:cs="Times New Roman"/>
          <w:szCs w:val="20"/>
          <w:lang w:eastAsia="hi-IN" w:bidi="hi-IN"/>
        </w:rPr>
      </w:pPr>
    </w:p>
    <w:p>
      <w:pPr>
        <w:suppressAutoHyphens/>
        <w:spacing w:after="0" w:line="240" w:lineRule="auto"/>
        <w:jc w:val="center"/>
        <w:rPr>
          <w:rFonts w:ascii="Times New Roman" w:hAnsi="Times New Roman" w:eastAsia="Times New Roman" w:cs="Times New Roman"/>
          <w:szCs w:val="20"/>
          <w:lang w:eastAsia="hi-IN" w:bidi="hi-IN"/>
        </w:rPr>
      </w:pPr>
    </w:p>
    <w:p>
      <w:pPr>
        <w:suppressAutoHyphens/>
        <w:spacing w:after="0" w:line="240" w:lineRule="auto"/>
        <w:jc w:val="center"/>
        <w:rPr>
          <w:rFonts w:ascii="Times New Roman" w:hAnsi="Times New Roman" w:eastAsia="Times New Roman" w:cs="Times New Roman"/>
          <w:szCs w:val="20"/>
          <w:lang w:eastAsia="hi-IN" w:bidi="hi-IN"/>
        </w:rPr>
      </w:pPr>
    </w:p>
    <w:p>
      <w:pPr>
        <w:widowControl w:val="0"/>
        <w:snapToGrid w:val="0"/>
        <w:spacing w:after="0" w:line="240" w:lineRule="auto"/>
        <w:jc w:val="center"/>
        <w:rPr>
          <w:rFonts w:ascii="Times New Roman" w:hAnsi="Times New Roman" w:eastAsia="Calibri" w:cs="Times New Roman"/>
          <w:b/>
          <w:snapToGrid w:val="0"/>
          <w:sz w:val="20"/>
          <w:szCs w:val="20"/>
        </w:rPr>
      </w:pPr>
    </w:p>
    <w:p>
      <w:pPr>
        <w:widowControl w:val="0"/>
        <w:snapToGrid w:val="0"/>
        <w:spacing w:after="0" w:line="240" w:lineRule="auto"/>
        <w:jc w:val="center"/>
        <w:rPr>
          <w:rFonts w:ascii="Times New Roman" w:hAnsi="Times New Roman" w:eastAsia="Calibri" w:cs="Times New Roman"/>
          <w:b/>
          <w:snapToGrid w:val="0"/>
          <w:sz w:val="20"/>
          <w:szCs w:val="20"/>
        </w:rPr>
      </w:pPr>
    </w:p>
    <w:p>
      <w:pPr>
        <w:widowControl w:val="0"/>
        <w:snapToGrid w:val="0"/>
        <w:spacing w:after="0" w:line="240" w:lineRule="auto"/>
        <w:jc w:val="center"/>
        <w:rPr>
          <w:rFonts w:ascii="Times New Roman" w:hAnsi="Times New Roman" w:eastAsia="Calibri" w:cs="Times New Roman"/>
          <w:b/>
          <w:snapToGrid w:val="0"/>
          <w:sz w:val="24"/>
          <w:szCs w:val="28"/>
        </w:rPr>
      </w:pPr>
      <w:r>
        <w:rPr>
          <w:rFonts w:ascii="Times New Roman" w:hAnsi="Times New Roman" w:eastAsia="Calibri" w:cs="Times New Roman"/>
          <w:b/>
          <w:snapToGrid w:val="0"/>
          <w:sz w:val="24"/>
          <w:szCs w:val="28"/>
        </w:rPr>
        <w:t>Objeto de la Contratación:</w:t>
      </w:r>
    </w:p>
    <w:p>
      <w:pPr>
        <w:widowControl w:val="0"/>
        <w:snapToGrid w:val="0"/>
        <w:spacing w:after="0" w:line="240" w:lineRule="auto"/>
        <w:jc w:val="center"/>
        <w:rPr>
          <w:rFonts w:ascii="Times New Roman" w:hAnsi="Times New Roman" w:eastAsia="Calibri" w:cs="Times New Roman"/>
          <w:b/>
          <w:snapToGrid w:val="0"/>
          <w:sz w:val="20"/>
          <w:szCs w:val="20"/>
        </w:rPr>
      </w:pPr>
    </w:p>
    <w:p>
      <w:pPr>
        <w:widowControl w:val="0"/>
        <w:snapToGrid w:val="0"/>
        <w:spacing w:after="0" w:line="240" w:lineRule="auto"/>
        <w:jc w:val="center"/>
        <w:rPr>
          <w:rFonts w:ascii="Times New Roman" w:hAnsi="Times New Roman" w:eastAsia="Calibri" w:cs="Times New Roman"/>
          <w:b/>
          <w:snapToGrid w:val="0"/>
          <w:sz w:val="20"/>
          <w:szCs w:val="20"/>
        </w:rPr>
      </w:pPr>
    </w:p>
    <w:p>
      <w:pPr>
        <w:suppressAutoHyphens/>
        <w:spacing w:after="0" w:line="240" w:lineRule="auto"/>
        <w:jc w:val="center"/>
        <w:rPr>
          <w:rFonts w:ascii="Times New Roman" w:hAnsi="Times New Roman" w:eastAsia="Times New Roman" w:cs="Times New Roman"/>
          <w:b/>
          <w:bCs/>
          <w:i/>
          <w:caps/>
          <w:sz w:val="24"/>
          <w:szCs w:val="28"/>
          <w:lang w:eastAsia="hi-IN" w:bidi="hi-IN"/>
        </w:rPr>
      </w:pPr>
      <w:r>
        <w:rPr>
          <w:rFonts w:ascii="Times New Roman" w:hAnsi="Times New Roman" w:eastAsia="Times New Roman" w:cs="Times New Roman"/>
          <w:b/>
          <w:bCs/>
          <w:i/>
          <w:caps/>
          <w:sz w:val="24"/>
          <w:szCs w:val="28"/>
          <w:lang w:eastAsia="hi-IN" w:bidi="hi-IN"/>
        </w:rPr>
        <w:t>OBRAS HIDROSANITARIAS, CANALIZACIÓN TELEFÓNICA, CANALIZACIÓN ELÉCTRICA, MUROS, VEREDAS, BORDILLOS, PAVIMENTACIÓN FLEXIBLE, SEÑALIZACIÓN, MITIGACIÓN DE IMPACTOS AMBIENTALES, MUROS DE CONTENCION, SUBDREN Y SEGURIDAD VIAL DE LA CALLE DE LAS AREPAS ENTRE SIN NOMBRE Y SIN NOMBRE. y los siguientes proyectos del condominio la floresta: 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p>
    <w:p>
      <w:pPr>
        <w:suppressAutoHyphens/>
        <w:spacing w:after="0" w:line="240" w:lineRule="auto"/>
        <w:jc w:val="center"/>
        <w:rPr>
          <w:rFonts w:ascii="Times New Roman" w:hAnsi="Times New Roman" w:eastAsia="Times New Roman" w:cs="Times New Roman"/>
          <w:szCs w:val="20"/>
          <w:lang w:eastAsia="hi-IN" w:bidi="hi-IN"/>
        </w:rPr>
      </w:pPr>
    </w:p>
    <w:p>
      <w:pPr>
        <w:suppressAutoHyphens/>
        <w:spacing w:after="0" w:line="240" w:lineRule="auto"/>
        <w:jc w:val="center"/>
        <w:rPr>
          <w:rFonts w:ascii="Times New Roman" w:hAnsi="Times New Roman" w:eastAsia="Times New Roman" w:cs="Times New Roman"/>
          <w:b/>
          <w:szCs w:val="20"/>
          <w:lang w:eastAsia="hi-IN" w:bidi="hi-IN"/>
        </w:rPr>
      </w:pPr>
      <w:r>
        <w:rPr>
          <w:rFonts w:ascii="Times New Roman" w:hAnsi="Times New Roman" w:eastAsia="Times New Roman" w:cs="Times New Roman"/>
          <w:b/>
          <w:szCs w:val="20"/>
          <w:lang w:eastAsia="hi-IN" w:bidi="hi-IN"/>
        </w:rPr>
        <w:t>GRUPO 5</w:t>
      </w:r>
    </w:p>
    <w:p>
      <w:pPr>
        <w:suppressAutoHyphens/>
        <w:spacing w:after="0" w:line="240" w:lineRule="auto"/>
        <w:rPr>
          <w:rFonts w:ascii="Times New Roman" w:hAnsi="Times New Roman" w:eastAsia="Times New Roman" w:cs="Times New Roman"/>
          <w:szCs w:val="20"/>
          <w:lang w:eastAsia="hi-IN" w:bidi="hi-IN"/>
        </w:rPr>
      </w:pPr>
    </w:p>
    <w:p>
      <w:pPr>
        <w:suppressAutoHyphens/>
        <w:spacing w:after="0" w:line="240" w:lineRule="auto"/>
        <w:rPr>
          <w:rFonts w:ascii="Times New Roman" w:hAnsi="Times New Roman" w:eastAsia="Times New Roman" w:cs="Times New Roman"/>
          <w:szCs w:val="20"/>
          <w:lang w:eastAsia="hi-IN" w:bidi="hi-IN"/>
        </w:rPr>
      </w:pPr>
    </w:p>
    <w:p>
      <w:pPr>
        <w:widowControl w:val="0"/>
        <w:suppressAutoHyphens/>
        <w:overflowPunct w:val="0"/>
        <w:autoSpaceDE w:val="0"/>
        <w:autoSpaceDN w:val="0"/>
        <w:adjustRightInd w:val="0"/>
        <w:spacing w:after="0" w:line="240" w:lineRule="auto"/>
        <w:jc w:val="center"/>
        <w:rPr>
          <w:rFonts w:ascii="Times New Roman" w:hAnsi="Times New Roman" w:eastAsia="Times New Roman" w:cs="Times New Roman"/>
          <w:b/>
          <w:sz w:val="20"/>
          <w:lang w:val="es-ES" w:eastAsia="hi-IN" w:bidi="hi-IN"/>
        </w:rPr>
      </w:pPr>
    </w:p>
    <w:p>
      <w:pPr>
        <w:suppressAutoHyphens/>
        <w:spacing w:after="0" w:line="240" w:lineRule="auto"/>
        <w:jc w:val="center"/>
        <w:rPr>
          <w:rFonts w:ascii="Times New Roman" w:hAnsi="Times New Roman" w:eastAsia="Times New Roman" w:cs="Times New Roman"/>
          <w:sz w:val="24"/>
          <w:szCs w:val="28"/>
          <w:lang w:eastAsia="hi-IN" w:bidi="hi-IN"/>
        </w:rPr>
      </w:pPr>
      <w:r>
        <w:rPr>
          <w:rFonts w:ascii="Times New Roman" w:hAnsi="Times New Roman" w:eastAsia="Times New Roman" w:cs="Times New Roman"/>
          <w:sz w:val="24"/>
          <w:szCs w:val="28"/>
          <w:lang w:eastAsia="hi-IN" w:bidi="hi-IN"/>
        </w:rPr>
        <w:t xml:space="preserve">Cuenca a, septiembre </w:t>
      </w:r>
      <w:r>
        <w:rPr>
          <w:rFonts w:ascii="Times New Roman" w:hAnsi="Times New Roman" w:eastAsia="Times New Roman" w:cs="Times New Roman"/>
          <w:bCs/>
          <w:sz w:val="24"/>
          <w:szCs w:val="28"/>
          <w:lang w:eastAsia="hi-IN" w:bidi="hi-IN"/>
        </w:rPr>
        <w:t>de 2018</w:t>
      </w:r>
    </w:p>
    <w:p>
      <w:pPr>
        <w:spacing w:after="0" w:line="240" w:lineRule="auto"/>
        <w:jc w:val="both"/>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spacing w:after="0" w:line="240" w:lineRule="auto"/>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tbl>
      <w:tblPr>
        <w:tblStyle w:val="46"/>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4" w:type="dxa"/>
            <w:shd w:val="clear" w:color="auto" w:fill="F2F2F2"/>
          </w:tcPr>
          <w:p>
            <w:pPr>
              <w:suppressAutoHyphens/>
              <w:spacing w:after="0" w:line="240" w:lineRule="auto"/>
              <w:jc w:val="center"/>
              <w:rPr>
                <w:rFonts w:ascii="Arial" w:hAnsi="Arial" w:eastAsia="Times New Roman" w:cs="Arial"/>
                <w:sz w:val="32"/>
                <w:szCs w:val="32"/>
                <w:lang w:eastAsia="hi-IN" w:bidi="hi-IN"/>
              </w:rPr>
            </w:pPr>
            <w:r>
              <w:rPr>
                <w:rFonts w:ascii="Arial" w:hAnsi="Arial" w:eastAsia="Times New Roman" w:cs="Arial"/>
                <w:sz w:val="32"/>
                <w:szCs w:val="36"/>
                <w:lang w:eastAsia="hi-IN" w:bidi="hi-IN"/>
              </w:rPr>
              <w:t>PLIEGO PARA EL PROCEDIMIENTO DE CONTRATACIÓN DE OBRAS PARA PAVIMENTO FLEXIBLE, CORRESPONDIENTE AL GRUPO 5</w:t>
            </w:r>
          </w:p>
          <w:p>
            <w:pPr>
              <w:suppressAutoHyphens/>
              <w:spacing w:after="0" w:line="240" w:lineRule="auto"/>
              <w:jc w:val="center"/>
              <w:rPr>
                <w:rFonts w:ascii="Arial" w:hAnsi="Arial" w:eastAsia="Times New Roman" w:cs="Arial"/>
                <w:i/>
                <w:szCs w:val="20"/>
                <w:lang w:eastAsia="hi-IN" w:bidi="hi-IN"/>
              </w:rPr>
            </w:pPr>
          </w:p>
        </w:tc>
      </w:tr>
    </w:tbl>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El </w:t>
      </w:r>
      <w:r>
        <w:rPr>
          <w:rFonts w:ascii="Arial" w:hAnsi="Arial" w:eastAsia="Times New Roman" w:cs="Arial"/>
          <w:b/>
          <w:sz w:val="20"/>
          <w:lang w:eastAsia="hi-IN" w:bidi="hi-IN"/>
        </w:rPr>
        <w:t xml:space="preserve">PLIEGO </w:t>
      </w:r>
      <w:r>
        <w:rPr>
          <w:rFonts w:ascii="Arial" w:hAnsi="Arial" w:eastAsia="Times New Roman" w:cs="Arial"/>
          <w:sz w:val="20"/>
          <w:lang w:eastAsia="hi-IN" w:bidi="hi-IN"/>
        </w:rPr>
        <w:t>que contiene las condiciones de participación del presente procedimiento de contratación, ha sido dividido en cinco componentes sustanciales y que forman parte integrante del mismo: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Cs w:val="20"/>
          <w:lang w:eastAsia="hi-IN" w:bidi="hi-IN"/>
        </w:rPr>
      </w:pPr>
      <w:r>
        <w:rPr>
          <w:rFonts w:ascii="Arial" w:hAnsi="Arial" w:eastAsia="Times New Roman" w:cs="Arial"/>
          <w:b/>
          <w:sz w:val="20"/>
          <w:lang w:eastAsia="hi-IN" w:bidi="hi-IN"/>
        </w:rPr>
        <w:t>I:</w:t>
      </w:r>
      <w:r>
        <w:rPr>
          <w:rFonts w:ascii="Arial" w:hAnsi="Arial" w:eastAsia="Times New Roman" w:cs="Arial"/>
          <w:b/>
          <w:sz w:val="20"/>
          <w:lang w:eastAsia="hi-IN" w:bidi="hi-IN"/>
        </w:rPr>
        <w:tab/>
      </w:r>
      <w:r>
        <w:rPr>
          <w:rFonts w:ascii="Arial" w:hAnsi="Arial" w:eastAsia="Times New Roman" w:cs="Arial"/>
          <w:b/>
          <w:szCs w:val="20"/>
          <w:lang w:eastAsia="hi-IN" w:bidi="hi-IN"/>
        </w:rPr>
        <w:t>CONDICIONES PARTICULARES DEL PROCEDIMIENTO DE CONTRATACIÓN DE OBRAS PARA PAVIMENTO FLEXIBLE, CORRESPONDIENTE AL GRUPO 5</w:t>
      </w:r>
    </w:p>
    <w:p>
      <w:pPr>
        <w:suppressAutoHyphens/>
        <w:spacing w:after="0" w:line="240" w:lineRule="auto"/>
        <w:ind w:left="709" w:hanging="425"/>
        <w:jc w:val="both"/>
        <w:rPr>
          <w:rFonts w:ascii="Arial" w:hAnsi="Arial" w:eastAsia="Times New Roman" w:cs="Arial"/>
          <w:b/>
          <w:sz w:val="20"/>
          <w:lang w:eastAsia="hi-IN" w:bidi="hi-IN"/>
        </w:rPr>
      </w:pPr>
    </w:p>
    <w:p>
      <w:pPr>
        <w:suppressAutoHyphens/>
        <w:spacing w:after="0" w:line="240" w:lineRule="auto"/>
        <w:ind w:left="709"/>
        <w:jc w:val="both"/>
        <w:rPr>
          <w:rFonts w:ascii="Arial" w:hAnsi="Arial" w:eastAsia="Times New Roman" w:cs="Arial"/>
          <w:sz w:val="20"/>
          <w:szCs w:val="20"/>
          <w:lang w:eastAsia="es-ES"/>
        </w:rPr>
      </w:pPr>
      <w:r>
        <w:rPr>
          <w:rFonts w:ascii="Arial" w:hAnsi="Arial" w:eastAsia="Times New Roman" w:cs="Arial"/>
          <w:sz w:val="20"/>
          <w:lang w:eastAsia="hi-IN" w:bidi="hi-IN"/>
        </w:rPr>
        <w:t>El presente proceso se regirá por las normas establecidas en</w:t>
      </w:r>
      <w:r>
        <w:rPr>
          <w:rFonts w:ascii="Arial" w:hAnsi="Arial" w:eastAsia="Times New Roman" w:cs="Arial"/>
          <w:b/>
          <w:sz w:val="20"/>
          <w:lang w:eastAsia="hi-IN" w:bidi="hi-IN"/>
        </w:rPr>
        <w:t xml:space="preserve"> e</w:t>
      </w:r>
      <w:r>
        <w:rPr>
          <w:rFonts w:ascii="Arial" w:hAnsi="Arial" w:eastAsia="Times New Roman" w:cs="Arial"/>
          <w:sz w:val="20"/>
          <w:szCs w:val="20"/>
          <w:lang w:eastAsia="es-ES"/>
        </w:rPr>
        <w:t>l REGLAMENTO DE ADJUDICACION DE OBRAS Y FISCALIZACIÓN FINANCIADOS CON RECURSOS CAF PARA EL PROGRAMA BARRIO PARA MEJOR VIVIR FASE II, mismo que en su Sección Primera señala:</w:t>
      </w:r>
    </w:p>
    <w:p>
      <w:pPr>
        <w:tabs>
          <w:tab w:val="left" w:pos="6078"/>
        </w:tabs>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b/>
      </w: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ANTECEDENTES: PRÉSTAMOS DE LA CORPORACIÓN ANDINA DE FOMENTO (“CAF”)</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En la ciudad de Caracas, Venezuela, con fecha 26 de octubre de 2015 se suscribió un contrato de préstamo entre CAF y el Gobierno Autónomo Descentralizado Municipal del Cantón Cuenca (“Municipio de Cuenca”), por un monto de hasta sesenta millones de los Estados Unidos de América (USD 60.000.000,00) para financiar de forma parcial el Programa “Barrio para Mejor Vivir” Fase II (el “Programa”) (el “Contrato de Préstamo”).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Complementariamente el artículo 3 de la Ley Orgánica del Sistema Nacional de Contratación Pública –LOSNCCP- textualmente establece: “</w:t>
      </w:r>
      <w:r>
        <w:rPr>
          <w:rFonts w:ascii="Arial" w:hAnsi="Arial" w:eastAsia="Times New Roman" w:cs="Arial"/>
          <w:i/>
          <w:sz w:val="20"/>
          <w:szCs w:val="20"/>
          <w:lang w:eastAsia="es-ES"/>
        </w:rPr>
        <w:t>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r>
        <w:rPr>
          <w:rFonts w:ascii="Arial" w:hAnsi="Arial" w:eastAsia="Times New Roman" w:cs="Arial"/>
          <w:sz w:val="20"/>
          <w:szCs w:val="20"/>
          <w:lang w:eastAsia="es-ES"/>
        </w:rPr>
        <w:t>.</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La cláusula 23 del Anexo A del Contrato de Préstamo establece que para (i) la adquisición de bienes por montos de hasta quinientos mil dólares de los Estados Unidos de América (USD 500.000); (ii) la contratación de obras y servicios por montos de hasta dos millones de dólares de los Estados Unidos de América (USD 2’000.000); y, (iii) la contratación de consultoría por montos de hasta doscientos cincuenta mil dólares de los Estados Unidos de América (USD 250.000) se deberá aplicar la metodología de contratación pública que cumpla con los principios de transparencia y competitividad previamente autorizados por CAF. Montos superiores a los indicados en los puntos (i) al (iii) se deben someter a procesos de contratación pública internacional.</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Bajo este marco, es voluntad de CAF y del GAD Municipal acordar los procesos de contratación aplicables a los puntos (i) al (iii) descritos en el párrafo anterior para los proyectos financiados por el Programa.</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El objetivo principal del Programa es mejorar la calidad de vida de los habitantes del cantón Cuenca, en particular de aquellos que habitan en los sectores más vulnerables y de bajos ingresos económicos, a través de la dotación de obras de infraestructura integral tales como: servicios de agua potable, alcantarillado, vías pavimentadas, aceras, drenajes alumbrado, red de telecomunicación y espacios verdes a barrios urbanos carentes de la misma.</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En los procesos de contratación, se tomará en cuenta los siguientes principios:</w:t>
      </w:r>
    </w:p>
    <w:p>
      <w:pPr>
        <w:spacing w:after="0" w:line="240" w:lineRule="auto"/>
        <w:ind w:left="705"/>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TRANSPARENCIA. Se entenderá como la virtud de rectitud e integridad en el obrar de las partes contratantes, en la participación de los procesos de selección, contratación y ejecución, correspondientes. Los Prestatarios y organismos ejecutores beneficiarios de las operaciones de financiamiento de CAF, buscarán en todo proceso de contratación, porque la información relacionada en éstos sea oportunamente de pleno conocimiento de los potenciales oferentes, mediante la determinación de reglas de juego claras desde el inicio del proceso. Asimismo, deben disponer de lo necesario para que se deje evidencia documental de las actuaciones y decisiones que ocurran en cada una de las etapas del proceso de contratación.</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COMPETITIVIDAD. Bajo este principio los prestatarios y organismo ejecutores, conferirán a los sujetos contratistas una capacidad para exigir un trato equitativo, esto es, un mismo trato ante los procesos contractuales, en procura de garantizar sus derechos y obligaciones dentro del marco de un Estado democrático y participativo.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El organismo responsable de los procesos de adquisiciones pretenderá, que la selección de sus contratistas se efectúe sin ningún tipo de consideración subjetiva, siguiendo unos procedimientos previamente establecidos, divulgados y conocidos que permitan seleccionar el contratista más favorable para los intereses del Estado.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DIVULGACION. Los procesos competiditos deben ser publicados, los medios comunes en nuestra región son los avisos internacionales, la publicación electrónica, diarios de amplia difusión nacional y local, cámara de comercios, gremios de contratista y proveedores, entre otros.</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Por tanto la difusión es maximizada, con el objeto de atraer a los mejores proveedores de obras, bienes y servicios, que operan en el mercado y estén interesados en el proceso, asimismo debe ser extensiva a todos los proveedores sean estos nacionales o extranjeros.</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Una publicación adecuada, es aquella que precisa claramente las características minimizas del proceso de selección, no restringe la participación de ningún proveedor, puede exhibir un precio estimado, precisa las etapas y los tiempos en un calendario programado, la cual se deben ceñir todos los proveedores que estén interesados en participar.</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La relación legal y jurídica entre CAF y los Prestatarios se rige únicamente por el Contrato de Préstamo que establece la aplicación de las Políticas de Gestión para la contratación de Bienes, Obras, y Servicios de Fiscalización. La responsabilidad por la ejecución, administración y uso de los recursos del Préstamo recae en los Prestatarios, incluyendo todos los procesos de adquisiciones, desde la preparación de los documentos del procedimiento hasta la adjudicación, administración, gestión y liquidación final de los contratos financiados con recursos CAF.</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Las imposiciones legales derivadas de los contratos en los procesos de adquisiciones no establecen ninguna relación entre CAF y los proveedores de bienes, obras, o las prestaciones de los servicios de fiscalización, ni formarán parte de los contratos de préstamos.</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Los derechos y obligaciones de los proveedores de bienes, servicios, y contratistas de obras, se limitan por lo establecido en los documentos del contrato suscrito entre estos y el Prestatario Contratante, y no por lo estipulado en el Contrato de Préstamo entre CAF y el Prestatario.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Además el Reglamento el Adjudicación de Obras y Fiscalización Financiados con Recursos CAF para el Programa Barrios Para Mejor Vivir Fase II que rige estos procesos determina para las obras de Pavimento Flexible lo siguiente</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Artículo 9-</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Al no tratarse de un procedimiento de adhesión al presupuesto referencial establecido por la Unidad Ejecutora de Proyectos, en las condiciones generales y particulares del procedimiento se establecerá los parámetros a evaluar y la metodología aplicable.</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 xml:space="preserve">Artículo 11.-  </w:t>
      </w: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Para las obras de Pavimento Flexible la calificación de los oferentes se realizará de acuerdo a lo establecido en los Pliegos de cada una de las obras.</w:t>
      </w:r>
    </w:p>
    <w:p>
      <w:pPr>
        <w:spacing w:after="0" w:line="240" w:lineRule="auto"/>
        <w:jc w:val="both"/>
        <w:rPr>
          <w:rFonts w:ascii="Arial" w:hAnsi="Arial" w:eastAsia="Times New Roman" w:cs="Arial"/>
          <w:sz w:val="20"/>
          <w:szCs w:val="20"/>
          <w:lang w:eastAsia="es-ES"/>
        </w:rPr>
      </w:pPr>
    </w:p>
    <w:p>
      <w:pPr>
        <w:suppressAutoHyphens/>
        <w:spacing w:after="0" w:line="240" w:lineRule="auto"/>
        <w:ind w:left="284"/>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Se establece la información y reglas específicas que rigen al procedimiento de contratación, incluidos formularios y el proyecto de contrato.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 xml:space="preserve">II: </w:t>
      </w:r>
      <w:r>
        <w:rPr>
          <w:rFonts w:ascii="Arial" w:hAnsi="Arial" w:eastAsia="Times New Roman" w:cs="Arial"/>
          <w:b/>
          <w:szCs w:val="20"/>
          <w:lang w:eastAsia="hi-IN" w:bidi="hi-IN"/>
        </w:rPr>
        <w:t>CONDICIONES GENERALES DEL PROCEDIMIENTO DE CONTRATACIÓN DE OBRAS PARA PAVIMENTO FLEXIBLE, CORRESPONDIENTE AL GRUPO 5</w:t>
      </w: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Este procedimiento se desarrollará en el marco del Reglamento de adjudicación de obras y Fiscalización financiados con recursos CAF para el programa “Barrio para Mejor Vivir Fase II”, el presente pliego aprobado por CAF, la Ley Orgánica del Sistema Nacional de Contratación Pública, su Reglamento General, sus Resoluciones y disposiciones administrativas emitidas por el SERCOP, en lo que fuere aplicable</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 xml:space="preserve"> III: </w:t>
      </w:r>
      <w:r>
        <w:rPr>
          <w:rFonts w:ascii="Arial" w:hAnsi="Arial" w:eastAsia="Times New Roman" w:cs="Arial"/>
          <w:b/>
          <w:szCs w:val="20"/>
          <w:lang w:eastAsia="hi-IN" w:bidi="hi-IN"/>
        </w:rPr>
        <w:t>FORMULARIOS DEL PROCEDIMIENTO DE CONTRATACIÓN DE OBRAS PARA PAVIMENTO FLEXIBLE, CORRESPONDIENTE AL GRUPO 5</w:t>
      </w:r>
    </w:p>
    <w:p>
      <w:pPr>
        <w:suppressAutoHyphens/>
        <w:spacing w:after="0" w:line="240" w:lineRule="auto"/>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Los participantes deberán de manera obligatoria adjuntar en su oferta todos los formularios que constan al final del presente pliego, debidamente llenados, foliados y rubricados por el oferente. El formulario del Oferente deberá de manera obligatoria ser presentado con la firma del oferente, cualquier modificación a éste formulario será causal de rechazo de la propuesta. </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Cs w:val="20"/>
          <w:lang w:eastAsia="hi-IN" w:bidi="hi-IN"/>
        </w:rPr>
      </w:pPr>
      <w:r>
        <w:rPr>
          <w:rFonts w:ascii="Arial" w:hAnsi="Arial" w:eastAsia="Times New Roman" w:cs="Arial"/>
          <w:b/>
          <w:sz w:val="20"/>
          <w:lang w:eastAsia="hi-IN" w:bidi="hi-IN"/>
        </w:rPr>
        <w:t xml:space="preserve">IV: </w:t>
      </w:r>
      <w:r>
        <w:rPr>
          <w:rFonts w:ascii="Arial" w:hAnsi="Arial" w:eastAsia="Times New Roman" w:cs="Arial"/>
          <w:b/>
          <w:szCs w:val="20"/>
          <w:lang w:eastAsia="hi-IN" w:bidi="hi-IN"/>
        </w:rPr>
        <w:t xml:space="preserve">CONDICIONES PARTICULARES DE LOS CONTRATOS DE OBRAS PARA PAVIMENTO FLEXIBLE, CORRESPONDIENTE AL GRUPO 5 </w:t>
      </w: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Se presenta el proyecto de contrato que establece las condiciones contractuales que deberán ser acordadas entre la entidad contratante y el adjudicatario para un procedimiento de CONTRATACIÓN DE OBRAS PARA PAVIMENTO FLEXIBLE, CORRESPONDIENTE AL GRUPO 5, documento que perfeccionado será suscrito por las partes intervinientes, la entidad contratante y el adjudicatario. </w:t>
      </w: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 xml:space="preserve">V: </w:t>
      </w:r>
      <w:r>
        <w:rPr>
          <w:rFonts w:ascii="Arial" w:hAnsi="Arial" w:eastAsia="Times New Roman" w:cs="Arial"/>
          <w:b/>
          <w:sz w:val="20"/>
          <w:lang w:eastAsia="hi-IN" w:bidi="hi-IN"/>
        </w:rPr>
        <w:tab/>
      </w:r>
      <w:r>
        <w:rPr>
          <w:rFonts w:ascii="Arial" w:hAnsi="Arial" w:eastAsia="Times New Roman" w:cs="Arial"/>
          <w:b/>
          <w:sz w:val="20"/>
          <w:lang w:eastAsia="hi-IN" w:bidi="hi-IN"/>
        </w:rPr>
        <w:t xml:space="preserve">CONDICIONES GENERALES DE LOS CONTRATOS DE OBRAS PARA PAVIMENTO FLEXIBLE, CORRESPONDIENTE AL GRUPO 5      </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Recoge las condiciones contractuales de carácter general que son aplicables para los procedimientos de contratación de  Obras financiados  con recursos CAF a través del procedimiento establecido en el Reglamento que rige este proceso.</w:t>
      </w:r>
    </w:p>
    <w:p>
      <w:pPr>
        <w:rPr>
          <w:rFonts w:ascii="Arial" w:hAnsi="Arial" w:eastAsia="Times New Roman" w:cs="Arial"/>
          <w:sz w:val="20"/>
          <w:lang w:eastAsia="hi-IN" w:bidi="hi-IN"/>
        </w:rPr>
      </w:pPr>
      <w:r>
        <w:rPr>
          <w:rFonts w:ascii="Arial" w:hAnsi="Arial" w:eastAsia="Times New Roman" w:cs="Arial"/>
          <w:sz w:val="20"/>
          <w:lang w:eastAsia="hi-IN" w:bidi="hi-IN"/>
        </w:rPr>
        <w:br w:type="page"/>
      </w:r>
    </w:p>
    <w:p>
      <w:pPr>
        <w:suppressAutoHyphens/>
        <w:spacing w:after="0" w:line="240" w:lineRule="auto"/>
        <w:jc w:val="both"/>
        <w:rPr>
          <w:rFonts w:ascii="Arial" w:hAnsi="Arial" w:eastAsia="Times New Roman" w:cs="Arial"/>
          <w:sz w:val="20"/>
          <w:lang w:eastAsia="hi-IN" w:bidi="hi-IN"/>
        </w:rPr>
      </w:pPr>
    </w:p>
    <w:p>
      <w:pPr>
        <w:pBdr>
          <w:top w:val="single" w:color="auto" w:sz="4" w:space="0"/>
          <w:left w:val="single" w:color="auto" w:sz="4" w:space="4"/>
          <w:bottom w:val="single" w:color="auto" w:sz="4" w:space="1"/>
          <w:right w:val="single" w:color="auto" w:sz="4" w:space="4"/>
        </w:pBdr>
        <w:shd w:val="clear" w:color="auto" w:fill="D9D9D9"/>
        <w:suppressAutoHyphens/>
        <w:spacing w:after="0" w:line="240" w:lineRule="auto"/>
        <w:jc w:val="center"/>
        <w:rPr>
          <w:rFonts w:ascii="Arial" w:hAnsi="Arial" w:eastAsia="Times New Roman" w:cs="Arial"/>
          <w:i/>
          <w:sz w:val="18"/>
          <w:szCs w:val="20"/>
          <w:lang w:bidi="hi-IN"/>
        </w:rPr>
      </w:pPr>
      <w:r>
        <w:rPr>
          <w:rFonts w:ascii="Arial" w:hAnsi="Arial" w:eastAsia="Times New Roman" w:cs="Arial"/>
          <w:b/>
          <w:bCs/>
          <w:sz w:val="18"/>
          <w:szCs w:val="20"/>
          <w:lang w:bidi="hi-IN"/>
        </w:rPr>
        <w:t>I. CONDICIONES PARTICULARES DEL PROCEDIMIENTO DE CONTRATACION DE OBRAS CORRESPONDIENTE AL GRUPO 5</w:t>
      </w:r>
    </w:p>
    <w:p>
      <w:pPr>
        <w:tabs>
          <w:tab w:val="left" w:pos="180"/>
        </w:tabs>
        <w:suppressAutoHyphens/>
        <w:spacing w:after="0" w:line="240" w:lineRule="auto"/>
        <w:jc w:val="center"/>
        <w:rPr>
          <w:rFonts w:ascii="Arial" w:hAnsi="Arial" w:eastAsia="Times New Roman" w:cs="Arial"/>
          <w:b/>
          <w:spacing w:val="-3"/>
          <w:szCs w:val="20"/>
          <w:lang w:eastAsia="hi-IN" w:bidi="hi-IN"/>
        </w:rPr>
      </w:pPr>
    </w:p>
    <w:p>
      <w:pPr>
        <w:tabs>
          <w:tab w:val="left" w:pos="180"/>
        </w:tabs>
        <w:suppressAutoHyphens/>
        <w:spacing w:after="0" w:line="240" w:lineRule="auto"/>
        <w:jc w:val="center"/>
        <w:rPr>
          <w:rFonts w:ascii="Arial" w:hAnsi="Arial" w:eastAsia="Times New Roman" w:cs="Arial"/>
          <w:b/>
          <w:spacing w:val="-3"/>
          <w:sz w:val="20"/>
          <w:szCs w:val="20"/>
          <w:lang w:eastAsia="hi-IN" w:bidi="hi-IN"/>
        </w:rPr>
      </w:pPr>
      <w:r>
        <w:rPr>
          <w:rFonts w:ascii="Arial" w:hAnsi="Arial" w:eastAsia="Times New Roman" w:cs="Arial"/>
          <w:b/>
          <w:spacing w:val="-3"/>
          <w:sz w:val="20"/>
          <w:szCs w:val="20"/>
          <w:lang w:eastAsia="hi-IN" w:bidi="hi-IN"/>
        </w:rPr>
        <w:t>ÍNDICE</w:t>
      </w:r>
    </w:p>
    <w:p>
      <w:pPr>
        <w:tabs>
          <w:tab w:val="left" w:pos="180"/>
        </w:tabs>
        <w:suppressAutoHyphens/>
        <w:spacing w:after="0" w:line="240" w:lineRule="auto"/>
        <w:jc w:val="center"/>
        <w:rPr>
          <w:rFonts w:ascii="Arial" w:hAnsi="Arial" w:eastAsia="Times New Roman" w:cs="Arial"/>
          <w:b/>
          <w:spacing w:val="-3"/>
          <w:sz w:val="20"/>
          <w:szCs w:val="20"/>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tbl>
      <w:tblPr>
        <w:tblStyle w:val="46"/>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180"/>
              </w:tabs>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SECCION I</w:t>
            </w: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CONVOCATORIA</w:t>
            </w:r>
          </w:p>
          <w:p>
            <w:pPr>
              <w:tabs>
                <w:tab w:val="left" w:pos="-540"/>
              </w:tabs>
              <w:suppressAutoHyphens/>
              <w:spacing w:after="0" w:line="240" w:lineRule="auto"/>
              <w:rPr>
                <w:rFonts w:ascii="Arial" w:hAnsi="Arial" w:eastAsia="Times New Roman" w:cs="Arial"/>
                <w:sz w:val="18"/>
                <w:lang w:eastAsia="hi-IN" w:bidi="hi-IN"/>
              </w:rPr>
            </w:pPr>
            <w:r>
              <w:rPr>
                <w:rFonts w:ascii="Arial" w:hAnsi="Arial" w:eastAsia="Times New Roman" w:cs="Arial"/>
                <w:sz w:val="18"/>
                <w:lang w:eastAsia="hi-IN" w:bidi="hi-I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180"/>
              </w:tabs>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SECCION II</w:t>
            </w:r>
          </w:p>
          <w:p>
            <w:pPr>
              <w:tabs>
                <w:tab w:val="left" w:pos="180"/>
              </w:tabs>
              <w:suppressAutoHyphens/>
              <w:spacing w:after="0" w:line="240" w:lineRule="auto"/>
              <w:jc w:val="center"/>
              <w:rPr>
                <w:rFonts w:ascii="Arial" w:hAnsi="Arial" w:eastAsia="Times New Roman" w:cs="Arial"/>
                <w:b/>
                <w:spacing w:val="-3"/>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OBJETO DE LA CONTRATACIÓN, PRESUPUESTO REFERENCIAL Y TÉRMINOS DE REFERENCIA</w:t>
            </w:r>
          </w:p>
          <w:p>
            <w:pPr>
              <w:suppressAutoHyphens/>
              <w:spacing w:after="0" w:line="240" w:lineRule="auto"/>
              <w:jc w:val="both"/>
              <w:rPr>
                <w:rFonts w:ascii="Arial" w:hAnsi="Arial" w:eastAsia="Times New Roman" w:cs="Arial"/>
                <w:spacing w:val="-2"/>
                <w:sz w:val="18"/>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2.1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Objeto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2.2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Presupuesto referencial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2.3</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Términos de referencia</w:t>
            </w:r>
          </w:p>
          <w:p>
            <w:pPr>
              <w:tabs>
                <w:tab w:val="left" w:pos="180"/>
              </w:tabs>
              <w:suppressAutoHyphens/>
              <w:spacing w:after="0" w:line="240" w:lineRule="auto"/>
              <w:rPr>
                <w:rFonts w:ascii="Arial" w:hAnsi="Arial" w:eastAsia="Times New Roman" w:cs="Arial"/>
                <w:b/>
                <w:spacing w:val="-3"/>
                <w:sz w:val="18"/>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3196"/>
              </w:tabs>
              <w:suppressAutoHyphens/>
              <w:spacing w:after="0" w:line="240" w:lineRule="auto"/>
              <w:jc w:val="center"/>
              <w:rPr>
                <w:rFonts w:ascii="Arial" w:hAnsi="Arial" w:eastAsia="Times New Roman" w:cs="Arial"/>
                <w:b/>
                <w:sz w:val="18"/>
                <w:lang w:eastAsia="hi-IN" w:bidi="hi-IN"/>
              </w:rPr>
            </w:pPr>
            <w:r>
              <w:rPr>
                <w:rFonts w:ascii="Arial" w:hAnsi="Arial" w:eastAsia="Times New Roman" w:cs="Arial"/>
                <w:b/>
                <w:sz w:val="18"/>
                <w:lang w:eastAsia="hi-IN" w:bidi="hi-IN"/>
              </w:rPr>
              <w:t>SECCION III</w:t>
            </w:r>
          </w:p>
          <w:p>
            <w:pPr>
              <w:tabs>
                <w:tab w:val="left" w:pos="180"/>
              </w:tabs>
              <w:suppressAutoHyphens/>
              <w:spacing w:after="0" w:line="240" w:lineRule="auto"/>
              <w:jc w:val="center"/>
              <w:rPr>
                <w:rFonts w:ascii="Arial" w:hAnsi="Arial" w:eastAsia="Times New Roman" w:cs="Arial"/>
                <w:b/>
                <w:spacing w:val="-3"/>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CONDICIONES DEL PROCEDIMIENTO</w:t>
            </w:r>
          </w:p>
          <w:p>
            <w:pPr>
              <w:tabs>
                <w:tab w:val="left" w:pos="3196"/>
              </w:tabs>
              <w:suppressAutoHyphens/>
              <w:spacing w:after="0" w:line="240" w:lineRule="auto"/>
              <w:rPr>
                <w:rFonts w:ascii="Arial" w:hAnsi="Arial" w:eastAsia="Times New Roman" w:cs="Arial"/>
                <w:b/>
                <w:sz w:val="18"/>
                <w:u w:val="single"/>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z w:val="18"/>
                <w:lang w:eastAsia="hi-IN" w:bidi="hi-IN"/>
              </w:rPr>
              <w:t>3</w:t>
            </w:r>
            <w:r>
              <w:rPr>
                <w:rFonts w:ascii="Arial" w:hAnsi="Arial" w:eastAsia="Times New Roman" w:cs="Arial"/>
                <w:spacing w:val="-2"/>
                <w:sz w:val="18"/>
                <w:lang w:eastAsia="hi-IN" w:bidi="hi-IN"/>
              </w:rPr>
              <w:t>.1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Cronograma del procedimiento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Vigencia de la oferta</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3.3</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Precio de la oferta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3.4</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Plazo de ejecución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3.5</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Alcance de la oferta</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3.6</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Forma de pago </w:t>
            </w:r>
          </w:p>
          <w:p>
            <w:pPr>
              <w:tabs>
                <w:tab w:val="left" w:pos="180"/>
              </w:tabs>
              <w:suppressAutoHyphens/>
              <w:spacing w:after="0" w:line="240" w:lineRule="auto"/>
              <w:rPr>
                <w:rFonts w:ascii="Arial" w:hAnsi="Arial" w:eastAsia="Times New Roman" w:cs="Arial"/>
                <w:b/>
                <w:spacing w:val="-3"/>
                <w:sz w:val="18"/>
                <w:u w:val="single"/>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3708"/>
              </w:tabs>
              <w:suppressAutoHyphens/>
              <w:spacing w:after="0" w:line="240" w:lineRule="auto"/>
              <w:jc w:val="center"/>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SECCIÓN IV</w:t>
            </w:r>
          </w:p>
          <w:p>
            <w:pPr>
              <w:tabs>
                <w:tab w:val="left" w:pos="3196"/>
              </w:tabs>
              <w:suppressAutoHyphens/>
              <w:spacing w:after="0" w:line="240" w:lineRule="auto"/>
              <w:jc w:val="center"/>
              <w:rPr>
                <w:rFonts w:ascii="Arial" w:hAnsi="Arial" w:eastAsia="Times New Roman" w:cs="Arial"/>
                <w:b/>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EVALUACIÓN DE LAS OFERTAS</w:t>
            </w:r>
          </w:p>
          <w:p>
            <w:pPr>
              <w:tabs>
                <w:tab w:val="left" w:pos="3708"/>
              </w:tabs>
              <w:suppressAutoHyphens/>
              <w:spacing w:after="0" w:line="240" w:lineRule="auto"/>
              <w:rPr>
                <w:rFonts w:ascii="Arial" w:hAnsi="Arial" w:eastAsia="Times New Roman" w:cs="Arial"/>
                <w:b/>
                <w:spacing w:val="-2"/>
                <w:sz w:val="18"/>
                <w:u w:val="single"/>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Integridad de las ofertas</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Evaluación de la oferta (cumple / no cumple)</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4.3</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Evaluación por puntaje</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4.4</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Evaluación de la Oferta Económica</w:t>
            </w:r>
          </w:p>
          <w:p>
            <w:pPr>
              <w:tabs>
                <w:tab w:val="left" w:pos="3196"/>
              </w:tabs>
              <w:suppressAutoHyphens/>
              <w:spacing w:after="0" w:line="240" w:lineRule="auto"/>
              <w:rPr>
                <w:rFonts w:ascii="Arial" w:hAnsi="Arial" w:eastAsia="Times New Roman" w:cs="Arial"/>
                <w:b/>
                <w:sz w:val="18"/>
                <w:u w:val="single"/>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suppressAutoHyphens/>
              <w:spacing w:after="0" w:line="240" w:lineRule="auto"/>
              <w:jc w:val="both"/>
              <w:rPr>
                <w:rFonts w:ascii="Arial" w:hAnsi="Arial" w:eastAsia="Times New Roman" w:cs="Arial"/>
                <w:spacing w:val="-2"/>
                <w:sz w:val="18"/>
                <w:lang w:eastAsia="hi-IN" w:bidi="hi-IN"/>
              </w:rPr>
            </w:pPr>
          </w:p>
          <w:p>
            <w:pPr>
              <w:tabs>
                <w:tab w:val="left" w:pos="-540"/>
              </w:tabs>
              <w:suppressAutoHyphens/>
              <w:spacing w:after="0" w:line="240" w:lineRule="auto"/>
              <w:jc w:val="center"/>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SECCIÓN V</w:t>
            </w:r>
          </w:p>
          <w:p>
            <w:pPr>
              <w:tabs>
                <w:tab w:val="left" w:pos="3196"/>
              </w:tabs>
              <w:suppressAutoHyphens/>
              <w:spacing w:after="0" w:line="240" w:lineRule="auto"/>
              <w:jc w:val="center"/>
              <w:rPr>
                <w:rFonts w:ascii="Arial" w:hAnsi="Arial" w:eastAsia="Times New Roman" w:cs="Arial"/>
                <w:b/>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OBLIGACIONES DE LAS PARTES</w:t>
            </w:r>
          </w:p>
          <w:p>
            <w:pPr>
              <w:tabs>
                <w:tab w:val="left" w:pos="-540"/>
              </w:tabs>
              <w:suppressAutoHyphens/>
              <w:spacing w:after="0" w:line="240" w:lineRule="auto"/>
              <w:jc w:val="both"/>
              <w:rPr>
                <w:rFonts w:ascii="Arial" w:hAnsi="Arial" w:eastAsia="Times New Roman" w:cs="Arial"/>
                <w:spacing w:val="-2"/>
                <w:sz w:val="18"/>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5.1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Obligaciones del Contratista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5.2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Obligaciones de la contratante </w:t>
            </w:r>
          </w:p>
          <w:p>
            <w:pPr>
              <w:tabs>
                <w:tab w:val="left" w:pos="3196"/>
              </w:tabs>
              <w:suppressAutoHyphens/>
              <w:spacing w:after="0" w:line="240" w:lineRule="auto"/>
              <w:rPr>
                <w:rFonts w:ascii="Arial" w:hAnsi="Arial" w:eastAsia="Times New Roman" w:cs="Arial"/>
                <w:b/>
                <w:sz w:val="18"/>
                <w:u w:val="single"/>
                <w:lang w:eastAsia="hi-IN" w:bidi="hi-IN"/>
              </w:rPr>
            </w:pPr>
          </w:p>
        </w:tc>
      </w:tr>
    </w:tbl>
    <w:p>
      <w:pPr>
        <w:tabs>
          <w:tab w:val="left" w:pos="180"/>
        </w:tabs>
        <w:suppressAutoHyphens/>
        <w:spacing w:after="0" w:line="240" w:lineRule="auto"/>
        <w:rPr>
          <w:rFonts w:ascii="Arial" w:hAnsi="Arial" w:eastAsia="Times New Roman" w:cs="Arial"/>
          <w:b/>
          <w:spacing w:val="-3"/>
          <w:sz w:val="20"/>
          <w:lang w:eastAsia="hi-IN" w:bidi="hi-IN"/>
        </w:rPr>
      </w:pPr>
    </w:p>
    <w:p>
      <w:pPr>
        <w:tabs>
          <w:tab w:val="left" w:pos="180"/>
        </w:tabs>
        <w:suppressAutoHyphens/>
        <w:spacing w:after="0" w:line="240" w:lineRule="auto"/>
        <w:rPr>
          <w:rFonts w:ascii="Arial" w:hAnsi="Arial" w:eastAsia="Times New Roman" w:cs="Arial"/>
          <w:b/>
          <w:spacing w:val="-3"/>
          <w:sz w:val="20"/>
          <w:lang w:eastAsia="hi-IN" w:bidi="hi-IN"/>
        </w:rPr>
      </w:pPr>
    </w:p>
    <w:p>
      <w:pPr>
        <w:suppressAutoHyphens/>
        <w:spacing w:after="0" w:line="240" w:lineRule="auto"/>
        <w:jc w:val="center"/>
        <w:rPr>
          <w:rFonts w:ascii="Arial" w:hAnsi="Arial" w:eastAsia="Times New Roman" w:cs="Arial"/>
          <w:b/>
          <w:szCs w:val="24"/>
          <w:lang w:bidi="hi-IN"/>
        </w:rPr>
      </w:pPr>
      <w:r>
        <w:rPr>
          <w:rFonts w:ascii="Arial" w:hAnsi="Arial" w:eastAsia="Times New Roman" w:cs="Arial"/>
          <w:b/>
          <w:szCs w:val="24"/>
          <w:lang w:bidi="hi-IN"/>
        </w:rPr>
        <w:t>SECCIÓN I</w:t>
      </w:r>
    </w:p>
    <w:p>
      <w:pPr>
        <w:suppressAutoHyphens/>
        <w:spacing w:after="0" w:line="240" w:lineRule="auto"/>
        <w:jc w:val="center"/>
        <w:rPr>
          <w:rFonts w:ascii="Arial" w:hAnsi="Arial" w:eastAsia="Times New Roman" w:cs="Arial"/>
          <w:b/>
          <w:szCs w:val="24"/>
          <w:lang w:bidi="hi-IN"/>
        </w:rPr>
      </w:pPr>
    </w:p>
    <w:p>
      <w:pPr>
        <w:suppressAutoHyphens/>
        <w:spacing w:after="0" w:line="240" w:lineRule="auto"/>
        <w:jc w:val="center"/>
        <w:rPr>
          <w:rFonts w:ascii="Arial" w:hAnsi="Arial" w:eastAsia="Times New Roman" w:cs="Arial"/>
          <w:b/>
          <w:szCs w:val="24"/>
          <w:lang w:bidi="hi-IN"/>
        </w:rPr>
      </w:pPr>
      <w:r>
        <w:rPr>
          <w:rFonts w:ascii="Arial" w:hAnsi="Arial" w:eastAsia="Times New Roman" w:cs="Arial"/>
          <w:b/>
          <w:szCs w:val="24"/>
          <w:lang w:bidi="hi-IN"/>
        </w:rPr>
        <w:t>CONVOCATORIA</w:t>
      </w:r>
    </w:p>
    <w:p>
      <w:pPr>
        <w:suppressAutoHyphens/>
        <w:spacing w:after="0" w:line="240" w:lineRule="auto"/>
        <w:jc w:val="both"/>
        <w:rPr>
          <w:rFonts w:ascii="Arial" w:hAnsi="Arial" w:eastAsia="Times New Roman" w:cs="Arial"/>
          <w:sz w:val="20"/>
          <w:lang w:bidi="hi-IN"/>
        </w:rPr>
      </w:pPr>
    </w:p>
    <w:p>
      <w:pPr>
        <w:tabs>
          <w:tab w:val="left" w:pos="-1440"/>
        </w:tabs>
        <w:jc w:val="both"/>
        <w:rPr>
          <w:rFonts w:ascii="Arial" w:hAnsi="Arial" w:eastAsia="Times New Roman" w:cs="Arial"/>
          <w:b/>
          <w:bCs/>
          <w:caps/>
          <w:sz w:val="20"/>
          <w:szCs w:val="20"/>
          <w:lang w:eastAsia="hi-IN" w:bidi="hi-IN"/>
        </w:rPr>
      </w:pPr>
      <w:r>
        <w:rPr>
          <w:rFonts w:ascii="Arial" w:hAnsi="Arial" w:eastAsia="Times New Roman" w:cs="Arial"/>
          <w:szCs w:val="20"/>
          <w:lang w:bidi="hi-IN"/>
        </w:rPr>
        <w:t>Se convoca a los oferentes que se encuentren calificados por la Comisión Administrativa de Evaluación y Adjudicación, en apego a las normas establecidas en la Sección Cuarta del REGLAMENTO DE ADJUDICACION DE OBRAS Y FISCALIZACION CON RECURSOS CAF PARA EL PROGRAMA BARRIO PARA MEJOR VIVIR FASE II, registrados para la contratación de obras de pavimento flexible rango hasta de $ 2,000,000.00</w:t>
      </w:r>
      <w:r>
        <w:rPr>
          <w:rFonts w:ascii="Arial" w:hAnsi="Arial" w:eastAsia="Times New Roman" w:cs="Arial"/>
          <w:spacing w:val="-2"/>
          <w:szCs w:val="20"/>
          <w:lang w:eastAsia="hi-IN" w:bidi="hi-IN"/>
        </w:rPr>
        <w:t xml:space="preserve"> (GRUPO5), a que presenten sus ofertas técnico - económicas de acuerdo a las condiciones generales y particulares para la ejecución de: </w:t>
      </w:r>
      <w:r>
        <w:rPr>
          <w:rFonts w:ascii="Arial" w:hAnsi="Arial" w:eastAsia="Times New Roman" w:cs="Arial"/>
          <w:b/>
          <w:bCs/>
          <w:caps/>
          <w:sz w:val="20"/>
          <w:szCs w:val="20"/>
          <w:lang w:eastAsia="hi-IN" w:bidi="hi-IN"/>
        </w:rPr>
        <w:t>OBRAS HIDROSANITARIAS, CANALIZACIÓN TELEFÓNICA, CANALIZACIÓN ELÉCTRICA, MUROS, VEREDAS, BORDILLOS, PAVIMENTACIÓN FLEXIBLE, SEÑALIZACIÓN, MITIGACIÓN DE IMPACTOS AMBIENTALES, muros de contencion, subdren y seguridad vial DE LA CALLE de las arepas entre sin nombre y sin nombre; y los siguientes proyectos del condominio la floresta: 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p>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2"/>
          <w:szCs w:val="20"/>
          <w:lang w:eastAsia="hi-IN" w:bidi="hi-IN"/>
        </w:rPr>
        <w:t xml:space="preserve">El presupuesto referencial es de </w:t>
      </w:r>
      <w:r>
        <w:rPr>
          <w:rFonts w:ascii="Arial" w:hAnsi="Arial" w:eastAsia="Times New Roman" w:cs="Arial"/>
          <w:b/>
          <w:spacing w:val="-2"/>
          <w:szCs w:val="20"/>
          <w:lang w:eastAsia="hi-IN" w:bidi="hi-IN"/>
        </w:rPr>
        <w:t xml:space="preserve">USD </w:t>
      </w:r>
      <w:r>
        <w:rPr>
          <w:rFonts w:ascii="Arial" w:hAnsi="Arial" w:eastAsia="Times New Roman" w:cs="Arial"/>
          <w:b/>
          <w:sz w:val="20"/>
          <w:lang w:bidi="hi-IN"/>
        </w:rPr>
        <w:t>1,141,387.91 (UN MILLON CIENTO CUARENTA Y UN MIL TRESCIENTOS OCHENTA Y SIETE CON 91/100 DOLARES DE ESTADOS UNIDOS DE AMERICA)</w:t>
      </w:r>
      <w:r>
        <w:rPr>
          <w:rFonts w:ascii="Arial" w:hAnsi="Arial" w:eastAsia="Times New Roman" w:cs="Arial"/>
          <w:b/>
          <w:spacing w:val="-3"/>
          <w:sz w:val="20"/>
          <w:lang w:eastAsia="hi-IN" w:bidi="hi-IN"/>
        </w:rPr>
        <w:t>, NO INCLUYE</w:t>
      </w:r>
      <w:r>
        <w:rPr>
          <w:rFonts w:ascii="Arial" w:hAnsi="Arial" w:eastAsia="Times New Roman" w:cs="Arial"/>
          <w:b/>
          <w:spacing w:val="-2"/>
          <w:sz w:val="20"/>
          <w:lang w:eastAsia="hi-IN" w:bidi="hi-IN"/>
        </w:rPr>
        <w:t xml:space="preserve"> IVA</w:t>
      </w:r>
      <w:r>
        <w:rPr>
          <w:rFonts w:ascii="Arial" w:hAnsi="Arial" w:eastAsia="Times New Roman" w:cs="Arial"/>
          <w:spacing w:val="-2"/>
          <w:szCs w:val="20"/>
          <w:lang w:eastAsia="hi-IN" w:bidi="hi-IN"/>
        </w:rPr>
        <w:t xml:space="preserve">, y el plazo máximo estimado para la ejecución del contrato es </w:t>
      </w:r>
      <w:r>
        <w:rPr>
          <w:rFonts w:ascii="Arial" w:hAnsi="Arial" w:eastAsia="Times New Roman" w:cs="Arial"/>
          <w:spacing w:val="-2"/>
          <w:sz w:val="20"/>
          <w:lang w:eastAsia="hi-IN" w:bidi="hi-IN"/>
        </w:rPr>
        <w:t xml:space="preserve">de </w:t>
      </w:r>
      <w:r>
        <w:rPr>
          <w:rFonts w:ascii="Arial" w:hAnsi="Arial" w:eastAsia="Times New Roman" w:cs="Arial"/>
          <w:b/>
          <w:sz w:val="20"/>
          <w:lang w:bidi="hi-IN"/>
        </w:rPr>
        <w:t xml:space="preserve">CIENTO VEINTE (120) </w:t>
      </w:r>
      <w:r>
        <w:rPr>
          <w:rFonts w:ascii="Arial" w:hAnsi="Arial" w:eastAsia="Times New Roman" w:cs="Arial"/>
          <w:b/>
          <w:spacing w:val="-2"/>
          <w:sz w:val="20"/>
          <w:lang w:eastAsia="hi-IN" w:bidi="hi-IN"/>
        </w:rPr>
        <w:t>DÍAS CALENDARIO</w:t>
      </w:r>
      <w:r>
        <w:rPr>
          <w:rFonts w:ascii="Arial" w:hAnsi="Arial" w:eastAsia="Times New Roman" w:cs="Arial"/>
          <w:spacing w:val="-2"/>
          <w:szCs w:val="20"/>
          <w:lang w:eastAsia="hi-IN" w:bidi="hi-IN"/>
        </w:rPr>
        <w:t>, contado a partir de la fecha de notificación de que el anticipo se encuentra transferido y disponible en la cuenta del contratista.</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54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Las condiciones de esta convocatoria son las siguientes:</w:t>
      </w:r>
    </w:p>
    <w:p>
      <w:pPr>
        <w:tabs>
          <w:tab w:val="left" w:pos="-540"/>
        </w:tabs>
        <w:suppressAutoHyphens/>
        <w:spacing w:after="0" w:line="240" w:lineRule="auto"/>
        <w:jc w:val="both"/>
        <w:rPr>
          <w:rFonts w:ascii="Arial" w:hAnsi="Arial" w:eastAsia="Times New Roman" w:cs="Arial"/>
          <w:spacing w:val="-2"/>
          <w:sz w:val="20"/>
          <w:lang w:eastAsia="hi-IN" w:bidi="hi-IN"/>
        </w:rPr>
      </w:pPr>
    </w:p>
    <w:p>
      <w:pPr>
        <w:numPr>
          <w:ilvl w:val="0"/>
          <w:numId w:val="2"/>
        </w:numPr>
        <w:tabs>
          <w:tab w:val="left" w:pos="0"/>
          <w:tab w:val="left" w:pos="426"/>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Cs w:val="20"/>
          <w:lang w:eastAsia="hi-IN" w:bidi="hi-IN"/>
        </w:rPr>
        <w:t xml:space="preserve">El pliego está disponible, en el portal de la Entidad Contratante, </w:t>
      </w:r>
      <w:r>
        <w:fldChar w:fldCharType="begin"/>
      </w:r>
      <w:r>
        <w:instrText xml:space="preserve"> HYPERLINK "http://www." </w:instrText>
      </w:r>
      <w:r>
        <w:fldChar w:fldCharType="separate"/>
      </w:r>
      <w:r>
        <w:rPr>
          <w:rFonts w:ascii="Arial" w:hAnsi="Arial" w:eastAsia="Times New Roman" w:cs="Arial"/>
          <w:spacing w:val="-2"/>
          <w:szCs w:val="20"/>
          <w:lang w:eastAsia="hi-IN" w:bidi="hi-IN"/>
        </w:rPr>
        <w:t>www.</w:t>
      </w:r>
      <w:r>
        <w:rPr>
          <w:rFonts w:ascii="Arial" w:hAnsi="Arial" w:eastAsia="Times New Roman" w:cs="Arial"/>
          <w:spacing w:val="-2"/>
          <w:szCs w:val="20"/>
          <w:lang w:eastAsia="hi-IN" w:bidi="hi-IN"/>
        </w:rPr>
        <w:fldChar w:fldCharType="end"/>
      </w:r>
      <w:r>
        <w:rPr>
          <w:rFonts w:ascii="Arial" w:hAnsi="Arial" w:eastAsia="Times New Roman" w:cs="Arial"/>
          <w:spacing w:val="-2"/>
          <w:szCs w:val="20"/>
          <w:lang w:eastAsia="hi-IN" w:bidi="hi-IN"/>
        </w:rPr>
        <w:t>cuenca.gob.ec. Exclusivamente el oferente adjudicado, una vez recibida la notificación de adjudicación, pagará a la</w:t>
      </w:r>
      <w:r>
        <w:rPr>
          <w:rFonts w:ascii="Arial" w:hAnsi="Arial" w:eastAsia="Times New Roman" w:cs="Arial"/>
          <w:spacing w:val="-2"/>
          <w:sz w:val="20"/>
          <w:lang w:eastAsia="hi-IN" w:bidi="hi-IN"/>
        </w:rPr>
        <w:t xml:space="preserve"> entidad el valor de USD </w:t>
      </w:r>
      <w:r>
        <w:rPr>
          <w:rFonts w:ascii="Arial" w:hAnsi="Arial" w:eastAsia="Times New Roman" w:cs="Arial"/>
          <w:b/>
          <w:spacing w:val="-2"/>
          <w:szCs w:val="20"/>
          <w:lang w:eastAsia="hi-IN" w:bidi="hi-IN"/>
        </w:rPr>
        <w:t>3.424,16</w:t>
      </w:r>
      <w:r>
        <w:rPr>
          <w:rFonts w:ascii="Arial" w:hAnsi="Arial" w:eastAsia="Times New Roman" w:cs="Arial"/>
          <w:spacing w:val="-2"/>
          <w:sz w:val="20"/>
          <w:lang w:eastAsia="hi-IN" w:bidi="hi-IN"/>
        </w:rPr>
        <w:t xml:space="preserve"> por concepto de levantamiento de pliegos.</w:t>
      </w:r>
    </w:p>
    <w:p>
      <w:pPr>
        <w:tabs>
          <w:tab w:val="left" w:pos="-540"/>
        </w:tabs>
        <w:suppressAutoHyphens/>
        <w:spacing w:after="0" w:line="240" w:lineRule="auto"/>
        <w:jc w:val="both"/>
        <w:rPr>
          <w:rFonts w:ascii="Arial" w:hAnsi="Arial" w:eastAsia="Times New Roman" w:cs="Arial"/>
          <w:spacing w:val="-2"/>
          <w:sz w:val="20"/>
          <w:lang w:eastAsia="hi-IN" w:bidi="hi-IN"/>
        </w:rPr>
      </w:pPr>
    </w:p>
    <w:p>
      <w:pPr>
        <w:numPr>
          <w:ilvl w:val="0"/>
          <w:numId w:val="2"/>
        </w:numPr>
        <w:tabs>
          <w:tab w:val="left" w:pos="-720"/>
        </w:tabs>
        <w:suppressAutoHyphens/>
        <w:autoSpaceDN w:val="0"/>
        <w:spacing w:after="0" w:line="240" w:lineRule="auto"/>
        <w:jc w:val="both"/>
        <w:textAlignment w:val="baseline"/>
        <w:rPr>
          <w:rFonts w:ascii="Arial" w:hAnsi="Arial" w:eastAsia="Times New Roman" w:cs="Arial"/>
          <w:szCs w:val="20"/>
          <w:lang w:eastAsia="hi-IN" w:bidi="hi-IN"/>
        </w:rPr>
      </w:pPr>
      <w:r>
        <w:rPr>
          <w:rFonts w:ascii="Arial" w:hAnsi="Arial" w:eastAsia="Times New Roman" w:cs="Arial"/>
          <w:spacing w:val="-2"/>
          <w:szCs w:val="20"/>
          <w:lang w:eastAsia="hi-IN" w:bidi="hi-IN"/>
        </w:rPr>
        <w:t xml:space="preserve">Los interesados podrán formular preguntas por escrito a la siguiente dirección electrónica </w:t>
      </w:r>
      <w:r>
        <w:fldChar w:fldCharType="begin"/>
      </w:r>
      <w:r>
        <w:instrText xml:space="preserve"> HYPERLINK "mailto:convocatoriacaf@cuenca.gob.ec" </w:instrText>
      </w:r>
      <w:r>
        <w:fldChar w:fldCharType="separate"/>
      </w:r>
      <w:r>
        <w:t>convocatoriacaf@cuenca.gob.ec</w:t>
      </w:r>
      <w:r>
        <w:fldChar w:fldCharType="end"/>
      </w:r>
      <w:r>
        <w:rPr>
          <w:rFonts w:ascii="Arial" w:hAnsi="Arial" w:eastAsia="Times New Roman" w:cs="Arial"/>
          <w:spacing w:val="-2"/>
          <w:szCs w:val="20"/>
          <w:lang w:eastAsia="hi-IN" w:bidi="hi-IN"/>
        </w:rPr>
        <w:t xml:space="preserve">. La Comisión Administrativa de Evaluación y Adjudicación, absolverá las preguntas y realizará las aclaraciones necesarias a través de correo electrónico y publicará en la página web </w:t>
      </w:r>
      <w:r>
        <w:rPr>
          <w:rFonts w:ascii="Times New Roman" w:hAnsi="Times New Roman" w:eastAsia="Times New Roman" w:cs="Times New Roman"/>
          <w:szCs w:val="20"/>
          <w:u w:val="single"/>
          <w:lang w:eastAsia="hi-IN" w:bidi="hi-IN"/>
        </w:rPr>
        <w:t>www.cuenca.gob.ec</w:t>
      </w:r>
      <w:r>
        <w:rPr>
          <w:rFonts w:ascii="Arial" w:hAnsi="Arial" w:eastAsia="Times New Roman" w:cs="Arial"/>
          <w:spacing w:val="-2"/>
          <w:szCs w:val="20"/>
          <w:lang w:eastAsia="hi-IN" w:bidi="hi-IN"/>
        </w:rPr>
        <w:t>, en el plazo establecido en el cronograma descrito en este pliego.</w:t>
      </w:r>
    </w:p>
    <w:p>
      <w:pPr>
        <w:suppressAutoHyphens/>
        <w:spacing w:after="0" w:line="240" w:lineRule="auto"/>
        <w:ind w:left="720"/>
        <w:rPr>
          <w:rFonts w:ascii="Arial" w:hAnsi="Arial" w:eastAsia="Times New Roman" w:cs="Arial"/>
          <w:spacing w:val="-2"/>
          <w:szCs w:val="20"/>
          <w:lang w:eastAsia="hi-IN" w:bidi="hi-IN"/>
        </w:rPr>
      </w:pPr>
    </w:p>
    <w:p>
      <w:pPr>
        <w:numPr>
          <w:ilvl w:val="0"/>
          <w:numId w:val="2"/>
        </w:numPr>
        <w:tabs>
          <w:tab w:val="left" w:pos="-720"/>
        </w:tabs>
        <w:suppressAutoHyphens/>
        <w:autoSpaceDN w:val="0"/>
        <w:spacing w:after="0" w:line="240" w:lineRule="auto"/>
        <w:jc w:val="both"/>
        <w:textAlignment w:val="baseline"/>
        <w:rPr>
          <w:rFonts w:ascii="Arial" w:hAnsi="Arial" w:eastAsia="Times New Roman" w:cs="Arial"/>
          <w:spacing w:val="-2"/>
          <w:szCs w:val="20"/>
          <w:lang w:eastAsia="hi-IN" w:bidi="hi-IN"/>
        </w:rPr>
      </w:pPr>
      <w:r>
        <w:rPr>
          <w:rFonts w:ascii="Arial" w:hAnsi="Arial" w:eastAsia="Times New Roman" w:cs="Arial"/>
          <w:spacing w:val="-2"/>
          <w:szCs w:val="20"/>
          <w:lang w:eastAsia="hi-IN" w:bidi="hi-IN"/>
        </w:rPr>
        <w:t>La oferta técnica – económica será presentada DE MANERA OBLIGATORIA en ORIGINAL Y COPIA  debidamente anillada, numerada y sumillada por el oferente, así como en medio digital, en archivo Excel la oferta económica (presupuesto de obra). Se presentará en la Dirección de Compras Públicas del GAD Municipal del cantón Cuenca, ubicada en la calle Sucre y Benigno Malo (Edificio Municipal) Séptimo Piso, de acuerdo al cronograma que consta en el presente pliego.  La apertura de las ofertas se realizará una hora más tarde de la hora prevista para la recepción de las mismas. El acto de apertura de ofertas será público y se efectuará en la Dirección de Compras Públicas de la Institución, ubicada en el séptimo piso del edificio Municipal.</w:t>
      </w:r>
    </w:p>
    <w:p>
      <w:pPr>
        <w:tabs>
          <w:tab w:val="left" w:pos="-720"/>
        </w:tabs>
        <w:suppressAutoHyphens/>
        <w:autoSpaceDN w:val="0"/>
        <w:spacing w:after="0" w:line="240" w:lineRule="auto"/>
        <w:jc w:val="both"/>
        <w:textAlignment w:val="baseline"/>
        <w:rPr>
          <w:rFonts w:ascii="Arial" w:hAnsi="Arial" w:eastAsia="Times New Roman" w:cs="Arial"/>
          <w:spacing w:val="-2"/>
          <w:szCs w:val="20"/>
          <w:lang w:eastAsia="hi-IN" w:bidi="hi-IN"/>
        </w:rPr>
      </w:pPr>
    </w:p>
    <w:p>
      <w:pPr>
        <w:numPr>
          <w:ilvl w:val="0"/>
          <w:numId w:val="2"/>
        </w:numPr>
        <w:tabs>
          <w:tab w:val="left" w:pos="0"/>
          <w:tab w:val="left" w:pos="426"/>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La oferta debe presentarse por la totalidad de los rubros de la contratación. La omisión de uno de los rubros será causa de rechazo.</w:t>
      </w:r>
    </w:p>
    <w:p>
      <w:pPr>
        <w:tabs>
          <w:tab w:val="left" w:pos="-540"/>
        </w:tabs>
        <w:suppressAutoHyphens/>
        <w:spacing w:after="0" w:line="240" w:lineRule="auto"/>
        <w:jc w:val="both"/>
        <w:rPr>
          <w:rFonts w:ascii="Arial" w:hAnsi="Arial" w:eastAsia="Times New Roman" w:cs="Arial"/>
          <w:spacing w:val="-2"/>
          <w:lang w:eastAsia="hi-IN" w:bidi="hi-IN"/>
        </w:rPr>
      </w:pPr>
    </w:p>
    <w:p>
      <w:pPr>
        <w:suppressAutoHyphens/>
        <w:spacing w:after="0" w:line="240" w:lineRule="auto"/>
        <w:ind w:left="720"/>
        <w:jc w:val="both"/>
        <w:rPr>
          <w:rFonts w:ascii="Arial" w:hAnsi="Arial" w:eastAsia="Times New Roman" w:cs="Arial"/>
          <w:spacing w:val="-2"/>
          <w:lang w:eastAsia="hi-IN" w:bidi="hi-IN"/>
        </w:rPr>
      </w:pPr>
      <w:r>
        <w:rPr>
          <w:rFonts w:ascii="Arial" w:hAnsi="Arial" w:eastAsia="Times New Roman" w:cs="Arial"/>
          <w:spacing w:val="-2"/>
          <w:lang w:eastAsia="hi-IN" w:bidi="hi-IN"/>
        </w:rPr>
        <w:t>En el caso de producirse variaciones en los costos de los componentes de los precios unitarios estipulados en este contrato, los costos se reajustarán, para efectos del pago del anticipo y de las planillas de ejecución de obra, desde la fecha de variación, mediante la aplicación de la fórmula polinómica establecida en el contrato.</w:t>
      </w:r>
    </w:p>
    <w:p>
      <w:pPr>
        <w:suppressAutoHyphens/>
        <w:spacing w:after="0" w:line="240" w:lineRule="auto"/>
        <w:ind w:left="720"/>
        <w:rPr>
          <w:rFonts w:ascii="Arial" w:hAnsi="Arial" w:eastAsia="Times New Roman" w:cs="Arial"/>
          <w:spacing w:val="-2"/>
          <w:szCs w:val="20"/>
          <w:lang w:bidi="hi-IN"/>
        </w:rPr>
      </w:pPr>
    </w:p>
    <w:p>
      <w:pPr>
        <w:numPr>
          <w:ilvl w:val="0"/>
          <w:numId w:val="2"/>
        </w:numPr>
        <w:tabs>
          <w:tab w:val="left" w:pos="426"/>
        </w:tabs>
        <w:suppressAutoHyphens/>
        <w:spacing w:after="0" w:line="240" w:lineRule="auto"/>
        <w:jc w:val="both"/>
        <w:rPr>
          <w:rFonts w:ascii="Arial" w:hAnsi="Arial" w:eastAsia="Times New Roman" w:cs="Arial"/>
          <w:spacing w:val="-2"/>
          <w:szCs w:val="20"/>
          <w:lang w:bidi="hi-IN"/>
        </w:rPr>
      </w:pPr>
      <w:r>
        <w:rPr>
          <w:rFonts w:ascii="Arial" w:hAnsi="Arial" w:eastAsia="Times New Roman" w:cs="Arial"/>
          <w:spacing w:val="-2"/>
          <w:szCs w:val="20"/>
          <w:lang w:bidi="hi-IN"/>
        </w:rPr>
        <w:t>La evaluación de las ofertas se realizará aplicando los parámetros de calificación previstos en el presente pliego.</w:t>
      </w:r>
    </w:p>
    <w:p>
      <w:pPr>
        <w:tabs>
          <w:tab w:val="left" w:pos="426"/>
        </w:tabs>
        <w:suppressAutoHyphens/>
        <w:spacing w:after="0" w:line="240" w:lineRule="auto"/>
        <w:ind w:left="720"/>
        <w:jc w:val="both"/>
        <w:rPr>
          <w:rFonts w:ascii="Arial" w:hAnsi="Arial" w:eastAsia="Times New Roman" w:cs="Arial"/>
          <w:spacing w:val="-2"/>
          <w:szCs w:val="20"/>
          <w:lang w:eastAsia="hi-IN" w:bidi="hi-IN"/>
        </w:rPr>
      </w:pPr>
    </w:p>
    <w:p>
      <w:pPr>
        <w:numPr>
          <w:ilvl w:val="0"/>
          <w:numId w:val="2"/>
        </w:numPr>
        <w:tabs>
          <w:tab w:val="left" w:pos="426"/>
        </w:tabs>
        <w:suppressAutoHyphens/>
        <w:spacing w:after="0" w:line="240" w:lineRule="auto"/>
        <w:jc w:val="both"/>
        <w:rPr>
          <w:rFonts w:ascii="Arial" w:hAnsi="Arial" w:eastAsia="Times New Roman" w:cs="Arial"/>
          <w:spacing w:val="-2"/>
          <w:szCs w:val="20"/>
          <w:lang w:eastAsia="hi-IN" w:bidi="hi-IN"/>
        </w:rPr>
      </w:pPr>
      <w:r>
        <w:rPr>
          <w:rFonts w:ascii="Arial" w:hAnsi="Arial" w:eastAsia="Times New Roman" w:cs="Arial"/>
          <w:spacing w:val="-2"/>
          <w:szCs w:val="20"/>
          <w:lang w:bidi="hi-IN"/>
        </w:rPr>
        <w:t xml:space="preserve">Los pagos del contrato se realizarán con cargo al financiamiento proveniente del </w:t>
      </w:r>
      <w:r>
        <w:rPr>
          <w:rFonts w:ascii="Arial" w:hAnsi="Arial" w:eastAsia="Times New Roman" w:cs="Arial"/>
          <w:szCs w:val="20"/>
          <w:lang w:bidi="hi-IN"/>
        </w:rPr>
        <w:t xml:space="preserve">Banco de Desarrollo de América Latina </w:t>
      </w:r>
      <w:r>
        <w:rPr>
          <w:rFonts w:ascii="Arial" w:hAnsi="Arial" w:eastAsia="Times New Roman" w:cs="Arial"/>
          <w:spacing w:val="-2"/>
          <w:szCs w:val="20"/>
          <w:lang w:bidi="hi-IN"/>
        </w:rPr>
        <w:t>– CAF relacionados con la partida presupuestaria Nº 7.3.36</w:t>
      </w:r>
      <w:r>
        <w:rPr>
          <w:rFonts w:ascii="Arial" w:hAnsi="Arial" w:eastAsia="Times New Roman" w:cs="Arial"/>
          <w:szCs w:val="20"/>
          <w:lang w:bidi="hi-IN"/>
        </w:rPr>
        <w:t>.5.01.04.16.01 “Barrio para Mejor Vivir II”. La partida presupuestaria ha sido emitida por la totalidad de la contratación incluyéndose el 12% del IVA. Se</w:t>
      </w:r>
      <w:r>
        <w:rPr>
          <w:rFonts w:ascii="Arial" w:hAnsi="Arial" w:eastAsia="Times New Roman" w:cs="Arial"/>
          <w:spacing w:val="-2"/>
          <w:szCs w:val="20"/>
          <w:lang w:bidi="hi-IN"/>
        </w:rPr>
        <w:t xml:space="preserve"> otorgará un anticipo del 30%; y el restante 70% de la siguiente manera: </w:t>
      </w:r>
    </w:p>
    <w:p>
      <w:pPr>
        <w:pStyle w:val="57"/>
        <w:rPr>
          <w:rFonts w:ascii="Arial" w:hAnsi="Arial" w:cs="Arial"/>
          <w:spacing w:val="-2"/>
        </w:rPr>
      </w:pPr>
    </w:p>
    <w:p>
      <w:pPr>
        <w:tabs>
          <w:tab w:val="left" w:pos="426"/>
        </w:tabs>
        <w:suppressAutoHyphens/>
        <w:spacing w:after="0" w:line="240" w:lineRule="auto"/>
        <w:ind w:left="720"/>
        <w:jc w:val="both"/>
        <w:rPr>
          <w:rFonts w:ascii="Arial" w:hAnsi="Arial" w:eastAsia="Times New Roman" w:cs="Arial"/>
          <w:spacing w:val="-2"/>
          <w:szCs w:val="20"/>
          <w:lang w:eastAsia="hi-IN" w:bidi="hi-IN"/>
        </w:rPr>
      </w:pPr>
      <w:r>
        <w:rPr>
          <w:rFonts w:ascii="Arial" w:hAnsi="Arial" w:eastAsia="Times New Roman" w:cs="Arial"/>
          <w:spacing w:val="-2"/>
          <w:szCs w:val="20"/>
          <w:lang w:eastAsia="hi-IN" w:bidi="hi-IN"/>
        </w:rPr>
        <w:t>Se lo hará mediante pago contra presentación de planillas mensuales, debidamente aprobadas por la fiscalización y autorizadas por el administrador del contrato. De cada planilla se descontará la amortización del anticipo y cualquier otro cargo al contratista, que sea en legal aplicación del contrato. El monto del anticipo entregado por la Entidad será devengado proporcionalmente al momento del pago de cada planilla hasta la terminación del plazo contractual inicialmente estipulado y constará en el cronograma pertinente que es parte del contrato.</w:t>
      </w:r>
    </w:p>
    <w:p>
      <w:pPr>
        <w:tabs>
          <w:tab w:val="left" w:pos="0"/>
        </w:tabs>
        <w:suppressAutoHyphens/>
        <w:spacing w:after="0" w:line="240" w:lineRule="auto"/>
        <w:jc w:val="both"/>
        <w:rPr>
          <w:rFonts w:ascii="Arial" w:hAnsi="Arial" w:eastAsia="Times New Roman" w:cs="Arial"/>
          <w:spacing w:val="-2"/>
          <w:szCs w:val="20"/>
          <w:lang w:eastAsia="hi-IN" w:bidi="hi-IN"/>
        </w:rPr>
      </w:pPr>
    </w:p>
    <w:p>
      <w:pPr>
        <w:numPr>
          <w:ilvl w:val="0"/>
          <w:numId w:val="2"/>
        </w:numPr>
        <w:tabs>
          <w:tab w:val="left" w:pos="0"/>
        </w:tabs>
        <w:suppressAutoHyphens/>
        <w:autoSpaceDN w:val="0"/>
        <w:spacing w:after="0" w:line="240" w:lineRule="auto"/>
        <w:jc w:val="both"/>
        <w:textAlignment w:val="baseline"/>
        <w:rPr>
          <w:rFonts w:ascii="Arial" w:hAnsi="Arial" w:eastAsia="Times New Roman" w:cs="Arial"/>
          <w:i/>
          <w:spacing w:val="-2"/>
          <w:sz w:val="20"/>
          <w:lang w:eastAsia="hi-IN" w:bidi="hi-IN"/>
        </w:rPr>
      </w:pPr>
      <w:r>
        <w:rPr>
          <w:rFonts w:ascii="Arial" w:hAnsi="Arial" w:eastAsia="Times New Roman" w:cs="Arial"/>
          <w:spacing w:val="-2"/>
          <w:szCs w:val="20"/>
          <w:lang w:bidi="hi-IN"/>
        </w:rPr>
        <w:t>El procedimiento se ceñirá a las políticas de CAF, el Reglamento que rige los procesos que se desarrollan bajo el programa BARRIO PARA MEJOR VIVIR FASE II y a las disposiciones de la LOSNCP, su Reglamento General, las resoluciones del SERCOP en lo que fueren aplicables.</w:t>
      </w:r>
    </w:p>
    <w:p>
      <w:pPr>
        <w:tabs>
          <w:tab w:val="left" w:pos="0"/>
        </w:tabs>
        <w:suppressAutoHyphens/>
        <w:autoSpaceDN w:val="0"/>
        <w:spacing w:after="0" w:line="240" w:lineRule="auto"/>
        <w:ind w:left="720"/>
        <w:jc w:val="both"/>
        <w:textAlignment w:val="baseline"/>
        <w:rPr>
          <w:rFonts w:ascii="Arial" w:hAnsi="Arial" w:eastAsia="Times New Roman" w:cs="Arial"/>
          <w:i/>
          <w:spacing w:val="-2"/>
          <w:sz w:val="20"/>
          <w:lang w:eastAsia="hi-IN" w:bidi="hi-IN"/>
        </w:rPr>
      </w:pPr>
    </w:p>
    <w:p>
      <w:pPr>
        <w:numPr>
          <w:ilvl w:val="0"/>
          <w:numId w:val="2"/>
        </w:numPr>
        <w:tabs>
          <w:tab w:val="left" w:pos="0"/>
        </w:tabs>
        <w:suppressAutoHyphens/>
        <w:autoSpaceDN w:val="0"/>
        <w:spacing w:after="0" w:line="240" w:lineRule="auto"/>
        <w:jc w:val="both"/>
        <w:textAlignment w:val="baseline"/>
        <w:rPr>
          <w:rFonts w:ascii="Arial" w:hAnsi="Arial" w:eastAsia="Times New Roman" w:cs="Arial"/>
          <w:i/>
          <w:spacing w:val="-2"/>
          <w:sz w:val="20"/>
          <w:lang w:eastAsia="hi-IN" w:bidi="hi-IN"/>
        </w:rPr>
      </w:pPr>
      <w:r>
        <w:rPr>
          <w:rFonts w:ascii="Arial" w:hAnsi="Arial" w:eastAsia="Times New Roman" w:cs="Arial"/>
          <w:spacing w:val="-2"/>
          <w:szCs w:val="20"/>
          <w:lang w:bidi="hi-IN"/>
        </w:rPr>
        <w:t>El GAD MUNICIPAL DEL CANTON CUENCA, se reserva el derecho de cancelar o declarar desierto el procedimiento de contratación, situación en la que no habrá lugar a pago de indemnización alguna.</w:t>
      </w:r>
    </w:p>
    <w:p>
      <w:pPr>
        <w:pStyle w:val="57"/>
        <w:rPr>
          <w:rFonts w:ascii="Arial" w:hAnsi="Arial" w:cs="Arial"/>
          <w:i/>
          <w:spacing w:val="-2"/>
          <w:sz w:val="20"/>
        </w:rPr>
      </w:pPr>
    </w:p>
    <w:p>
      <w:pPr>
        <w:tabs>
          <w:tab w:val="left" w:pos="0"/>
        </w:tabs>
        <w:suppressAutoHyphens/>
        <w:autoSpaceDN w:val="0"/>
        <w:spacing w:after="0" w:line="240" w:lineRule="auto"/>
        <w:jc w:val="both"/>
        <w:textAlignment w:val="baseline"/>
        <w:rPr>
          <w:rFonts w:ascii="Arial" w:hAnsi="Arial" w:eastAsia="Times New Roman" w:cs="Arial"/>
          <w:i/>
          <w:spacing w:val="-2"/>
          <w:sz w:val="20"/>
          <w:lang w:eastAsia="hi-IN" w:bidi="hi-IN"/>
        </w:rPr>
      </w:pPr>
    </w:p>
    <w:p>
      <w:pPr>
        <w:tabs>
          <w:tab w:val="center" w:pos="6378"/>
        </w:tabs>
        <w:suppressAutoHyphens/>
        <w:spacing w:after="0" w:line="240" w:lineRule="auto"/>
        <w:jc w:val="center"/>
        <w:rPr>
          <w:rFonts w:ascii="Times New Roman" w:hAnsi="Times New Roman" w:eastAsia="Times New Roman" w:cs="Times New Roman"/>
          <w:b/>
          <w:spacing w:val="-2"/>
          <w:szCs w:val="20"/>
          <w:lang w:eastAsia="hi-IN" w:bidi="hi-IN"/>
        </w:rPr>
      </w:pPr>
    </w:p>
    <w:p>
      <w:pPr>
        <w:tabs>
          <w:tab w:val="center" w:pos="4398"/>
        </w:tabs>
        <w:suppressAutoHyphens/>
        <w:spacing w:after="0" w:line="240" w:lineRule="auto"/>
        <w:jc w:val="both"/>
        <w:rPr>
          <w:rFonts w:ascii="Arial" w:hAnsi="Arial" w:eastAsia="Times New Roman" w:cs="Arial"/>
          <w:b/>
          <w:sz w:val="20"/>
          <w:lang w:bidi="hi-IN"/>
        </w:rPr>
      </w:pPr>
      <w:r>
        <w:rPr>
          <w:rFonts w:ascii="Arial" w:hAnsi="Arial" w:eastAsia="Times New Roman" w:cs="Arial"/>
          <w:i/>
          <w:spacing w:val="-2"/>
          <w:sz w:val="20"/>
          <w:lang w:eastAsia="hi-IN" w:bidi="hi-IN"/>
        </w:rPr>
        <w:t>Cuenca, septiembre</w:t>
      </w:r>
      <w:r>
        <w:rPr>
          <w:rFonts w:ascii="Arial" w:hAnsi="Arial" w:eastAsia="Times New Roman" w:cs="Arial"/>
          <w:sz w:val="20"/>
          <w:lang w:bidi="hi-IN"/>
        </w:rPr>
        <w:t xml:space="preserve"> de 2018</w:t>
      </w:r>
    </w:p>
    <w:p>
      <w:pPr>
        <w:tabs>
          <w:tab w:val="center" w:pos="6378"/>
        </w:tabs>
        <w:suppressAutoHyphens/>
        <w:spacing w:after="0" w:line="240" w:lineRule="auto"/>
        <w:rPr>
          <w:rFonts w:ascii="Times New Roman" w:hAnsi="Times New Roman" w:eastAsia="Times New Roman" w:cs="Times New Roman"/>
          <w:b/>
          <w:spacing w:val="-2"/>
          <w:szCs w:val="20"/>
          <w:lang w:eastAsia="hi-IN" w:bidi="hi-IN"/>
        </w:rPr>
      </w:pPr>
    </w:p>
    <w:p>
      <w:pPr>
        <w:tabs>
          <w:tab w:val="center" w:pos="6378"/>
        </w:tabs>
        <w:suppressAutoHyphens/>
        <w:spacing w:after="0" w:line="240" w:lineRule="auto"/>
        <w:rPr>
          <w:rFonts w:ascii="Times New Roman" w:hAnsi="Times New Roman" w:eastAsia="Times New Roman" w:cs="Times New Roman"/>
          <w:b/>
          <w:spacing w:val="-2"/>
          <w:szCs w:val="20"/>
          <w:lang w:eastAsia="hi-IN" w:bidi="hi-IN"/>
        </w:rPr>
      </w:pPr>
    </w:p>
    <w:p>
      <w:pPr>
        <w:tabs>
          <w:tab w:val="center" w:pos="6378"/>
        </w:tabs>
        <w:suppressAutoHyphens/>
        <w:spacing w:after="0" w:line="240" w:lineRule="auto"/>
        <w:jc w:val="center"/>
        <w:rPr>
          <w:rFonts w:ascii="Times New Roman" w:hAnsi="Times New Roman" w:eastAsia="Times New Roman" w:cs="Times New Roman"/>
          <w:b/>
          <w:spacing w:val="-2"/>
          <w:szCs w:val="20"/>
          <w:lang w:eastAsia="hi-IN" w:bidi="hi-IN"/>
        </w:rPr>
      </w:pPr>
    </w:p>
    <w:p>
      <w:pPr>
        <w:tabs>
          <w:tab w:val="center" w:pos="6378"/>
        </w:tabs>
        <w:suppressAutoHyphens/>
        <w:spacing w:after="0" w:line="240" w:lineRule="auto"/>
        <w:jc w:val="center"/>
        <w:rPr>
          <w:rFonts w:ascii="Times New Roman" w:hAnsi="Times New Roman" w:eastAsia="Times New Roman" w:cs="Times New Roman"/>
          <w:b/>
          <w:spacing w:val="-2"/>
          <w:szCs w:val="20"/>
          <w:lang w:eastAsia="hi-IN" w:bidi="hi-IN"/>
        </w:rPr>
      </w:pPr>
    </w:p>
    <w:p>
      <w:pPr>
        <w:tabs>
          <w:tab w:val="center" w:pos="6378"/>
        </w:tabs>
        <w:suppressAutoHyphens/>
        <w:spacing w:after="0" w:line="240" w:lineRule="auto"/>
        <w:jc w:val="center"/>
        <w:rPr>
          <w:rFonts w:ascii="Times New Roman" w:hAnsi="Times New Roman" w:eastAsia="Times New Roman" w:cs="Times New Roman"/>
          <w:spacing w:val="-2"/>
          <w:szCs w:val="20"/>
          <w:lang w:eastAsia="hi-IN" w:bidi="hi-IN"/>
        </w:rPr>
      </w:pPr>
      <w:r>
        <w:rPr>
          <w:rFonts w:ascii="Times New Roman" w:hAnsi="Times New Roman" w:eastAsia="Times New Roman" w:cs="Times New Roman"/>
          <w:spacing w:val="-2"/>
          <w:szCs w:val="20"/>
          <w:lang w:eastAsia="hi-IN" w:bidi="hi-IN"/>
        </w:rPr>
        <w:t>________________________</w:t>
      </w:r>
    </w:p>
    <w:p>
      <w:pPr>
        <w:suppressAutoHyphens/>
        <w:spacing w:after="60" w:line="240" w:lineRule="auto"/>
        <w:jc w:val="center"/>
        <w:rPr>
          <w:rFonts w:ascii="Arial" w:hAnsi="Arial" w:eastAsia="Calibri" w:cs="Arial"/>
          <w:sz w:val="20"/>
          <w:lang w:eastAsia="ar-SA" w:bidi="hi-IN"/>
        </w:rPr>
      </w:pPr>
      <w:r>
        <w:rPr>
          <w:rFonts w:ascii="Arial" w:hAnsi="Arial" w:eastAsia="Calibri" w:cs="Arial"/>
          <w:sz w:val="20"/>
          <w:lang w:eastAsia="ar-SA" w:bidi="hi-IN"/>
        </w:rPr>
        <w:t>Ing. Marcelo Cabrera Palacios</w:t>
      </w:r>
    </w:p>
    <w:p>
      <w:pPr>
        <w:tabs>
          <w:tab w:val="left" w:pos="-540"/>
        </w:tabs>
        <w:suppressAutoHyphens/>
        <w:spacing w:after="60" w:line="240" w:lineRule="auto"/>
        <w:jc w:val="center"/>
        <w:rPr>
          <w:rFonts w:ascii="Arial" w:hAnsi="Arial" w:eastAsia="Times New Roman" w:cs="Arial"/>
          <w:i/>
          <w:sz w:val="20"/>
          <w:lang w:val="es-ES" w:eastAsia="hi-IN" w:bidi="hi-IN"/>
        </w:rPr>
      </w:pPr>
      <w:r>
        <w:rPr>
          <w:rFonts w:ascii="Arial" w:hAnsi="Arial" w:eastAsia="Calibri" w:cs="Arial"/>
          <w:b/>
          <w:sz w:val="20"/>
          <w:lang w:eastAsia="ar-SA" w:bidi="hi-IN"/>
        </w:rPr>
        <w:t>ALCALDE DEL GAD MUNICIPAL DEL CANTÓN CUENCA</w:t>
      </w:r>
    </w:p>
    <w:p>
      <w:pPr>
        <w:tabs>
          <w:tab w:val="left" w:pos="180"/>
        </w:tabs>
        <w:suppressAutoHyphens/>
        <w:spacing w:after="0" w:line="240" w:lineRule="auto"/>
        <w:jc w:val="center"/>
        <w:rPr>
          <w:rFonts w:ascii="Arial" w:hAnsi="Arial" w:eastAsia="Times New Roman" w:cs="Arial"/>
          <w:b/>
          <w:spacing w:val="-3"/>
          <w:sz w:val="18"/>
          <w:lang w:val="es-ES"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br w:type="page"/>
      </w:r>
    </w:p>
    <w:p>
      <w:pPr>
        <w:tabs>
          <w:tab w:val="left" w:pos="180"/>
        </w:tabs>
        <w:suppressAutoHyphens/>
        <w:spacing w:after="0" w:line="240" w:lineRule="auto"/>
        <w:jc w:val="center"/>
        <w:rPr>
          <w:rFonts w:ascii="Arial" w:hAnsi="Arial" w:eastAsia="Times New Roman" w:cs="Arial"/>
          <w:b/>
          <w:spacing w:val="-3"/>
          <w:szCs w:val="24"/>
          <w:lang w:eastAsia="hi-IN" w:bidi="hi-IN"/>
        </w:rPr>
      </w:pPr>
      <w:r>
        <w:rPr>
          <w:rFonts w:ascii="Arial" w:hAnsi="Arial" w:eastAsia="Times New Roman" w:cs="Arial"/>
          <w:b/>
          <w:spacing w:val="-3"/>
          <w:szCs w:val="24"/>
          <w:lang w:eastAsia="hi-IN" w:bidi="hi-IN"/>
        </w:rPr>
        <w:t>SECCIÓN II</w:t>
      </w:r>
    </w:p>
    <w:p>
      <w:pPr>
        <w:tabs>
          <w:tab w:val="left" w:pos="180"/>
        </w:tabs>
        <w:suppressAutoHyphens/>
        <w:spacing w:after="0" w:line="240" w:lineRule="auto"/>
        <w:jc w:val="center"/>
        <w:rPr>
          <w:rFonts w:ascii="Arial" w:hAnsi="Arial" w:eastAsia="Times New Roman" w:cs="Arial"/>
          <w:b/>
          <w:spacing w:val="-3"/>
          <w:szCs w:val="24"/>
          <w:lang w:eastAsia="hi-IN" w:bidi="hi-IN"/>
        </w:rPr>
      </w:pPr>
    </w:p>
    <w:p>
      <w:pPr>
        <w:tabs>
          <w:tab w:val="left" w:pos="180"/>
        </w:tabs>
        <w:suppressAutoHyphens/>
        <w:spacing w:after="0" w:line="240" w:lineRule="auto"/>
        <w:jc w:val="center"/>
        <w:rPr>
          <w:rFonts w:ascii="Arial" w:hAnsi="Arial" w:eastAsia="Times New Roman" w:cs="Arial"/>
          <w:b/>
          <w:spacing w:val="-3"/>
          <w:szCs w:val="24"/>
          <w:lang w:eastAsia="hi-IN" w:bidi="hi-IN"/>
        </w:rPr>
      </w:pPr>
      <w:r>
        <w:rPr>
          <w:rFonts w:ascii="Arial" w:hAnsi="Arial" w:eastAsia="Times New Roman" w:cs="Arial"/>
          <w:b/>
          <w:spacing w:val="-3"/>
          <w:szCs w:val="24"/>
          <w:lang w:eastAsia="hi-IN" w:bidi="hi-IN"/>
        </w:rPr>
        <w:t>OBJETO DE LA CONTRATACIÓN, PRESUPUESTO REFERENCIAL Y ESPECIFICACIONES TÉCNICAS</w:t>
      </w:r>
    </w:p>
    <w:p>
      <w:pPr>
        <w:tabs>
          <w:tab w:val="left" w:pos="180"/>
        </w:tabs>
        <w:suppressAutoHyphens/>
        <w:spacing w:after="0" w:line="240" w:lineRule="auto"/>
        <w:jc w:val="both"/>
        <w:rPr>
          <w:rFonts w:ascii="Arial" w:hAnsi="Arial" w:eastAsia="Times New Roman" w:cs="Arial"/>
          <w:b/>
          <w:spacing w:val="-2"/>
          <w:sz w:val="20"/>
          <w:lang w:eastAsia="hi-IN" w:bidi="hi-IN"/>
        </w:rPr>
      </w:pPr>
    </w:p>
    <w:p>
      <w:pPr>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2.1.</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Objeto: </w:t>
      </w:r>
      <w:r>
        <w:rPr>
          <w:rFonts w:ascii="Arial" w:hAnsi="Arial" w:eastAsia="Times New Roman" w:cs="Arial"/>
          <w:spacing w:val="-2"/>
          <w:sz w:val="20"/>
          <w:lang w:eastAsia="hi-IN" w:bidi="hi-IN"/>
        </w:rPr>
        <w:t xml:space="preserve">Este procedimiento precontractual tiene como propósito seleccionar a la oferta de obra de mejor costo, para la ejecución de: </w:t>
      </w:r>
      <w:r>
        <w:rPr>
          <w:rFonts w:ascii="Arial" w:hAnsi="Arial" w:eastAsia="Times New Roman" w:cs="Arial"/>
          <w:bCs/>
          <w:caps/>
          <w:sz w:val="20"/>
          <w:szCs w:val="20"/>
          <w:lang w:eastAsia="hi-IN" w:bidi="hi-IN"/>
        </w:rPr>
        <w:t>OBRAS HIDROSANITARIAS, CANALIZACIÓN TELEFÓNICA, CANALIZACIÓN ELÉCTRICA, MUROS, VEREDAS, BORDILLOS, PAVIMENTACIÓN FLEXIBLE, SEÑALIZACIÓN, MITIGACIÓN DE IMPACTOS AMBIENTALES, muros de contencion, subdren y seguridad vial DE LA CALLE de las arepas entre sin nombre y sin nombre; y los siguientes proyectos del condominio la floresta: 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r>
        <w:rPr>
          <w:rFonts w:ascii="Arial" w:hAnsi="Arial" w:eastAsia="Times New Roman" w:cs="Arial"/>
          <w:spacing w:val="-2"/>
          <w:sz w:val="20"/>
          <w:lang w:eastAsia="hi-IN" w:bidi="hi-IN"/>
        </w:rPr>
        <w:t>; con una longitud aproximada de 702.52  metros la calle DE LAS AREPAS ubicada en la parroquia Bellavista y 522.14 metros las calles restantes ubicadas en el Condominio La Floresta,</w:t>
      </w:r>
      <w:r>
        <w:rPr>
          <w:rFonts w:ascii="Arial" w:hAnsi="Arial" w:eastAsia="Times New Roman" w:cs="Arial"/>
          <w:sz w:val="20"/>
          <w:lang w:bidi="hi-IN"/>
        </w:rPr>
        <w:t xml:space="preserve"> parroquia El Vecino, las mismas que </w:t>
      </w:r>
      <w:r>
        <w:rPr>
          <w:rFonts w:ascii="Arial" w:hAnsi="Arial" w:eastAsia="Times New Roman" w:cs="Arial"/>
          <w:spacing w:val="-2"/>
          <w:sz w:val="20"/>
          <w:lang w:eastAsia="hi-IN" w:bidi="hi-IN"/>
        </w:rPr>
        <w:t>contemplan los siguientes trabajos:</w:t>
      </w:r>
    </w:p>
    <w:p>
      <w:pPr>
        <w:suppressAutoHyphens/>
        <w:spacing w:after="0" w:line="240" w:lineRule="auto"/>
        <w:jc w:val="both"/>
        <w:rPr>
          <w:rFonts w:ascii="Arial" w:hAnsi="Arial" w:eastAsia="Times New Roman" w:cs="Arial"/>
          <w:sz w:val="20"/>
          <w:lang w:val="es-ES" w:eastAsia="hi-IN" w:bidi="hi-IN"/>
        </w:rPr>
      </w:pPr>
    </w:p>
    <w:p>
      <w:pPr>
        <w:suppressAutoHyphens/>
        <w:spacing w:after="0" w:line="240" w:lineRule="auto"/>
        <w:jc w:val="both"/>
        <w:rPr>
          <w:rFonts w:ascii="Arial" w:hAnsi="Arial" w:eastAsia="Times New Roman" w:cs="Arial"/>
          <w:sz w:val="20"/>
          <w:lang w:val="es-ES" w:eastAsia="hi-IN" w:bidi="hi-IN"/>
        </w:rPr>
      </w:pPr>
      <w:r>
        <w:rPr>
          <w:rFonts w:ascii="Times New Roman" w:hAnsi="Times New Roman" w:eastAsia="Times New Roman" w:cs="Times New Roman"/>
          <w:bCs/>
          <w:sz w:val="24"/>
          <w:szCs w:val="28"/>
          <w:lang w:eastAsia="hi-IN" w:bidi="hi-IN"/>
        </w:rPr>
        <w:t>Obras Hidrosanitarias, Muros, Veredas, Bordillos, Canalización Telefónica, Canalización Eléctrica, Pavimento Flexible, Señalización, Mitigación De Impactos Ambientales, Muros de Contención, Subdrenes y Seguridad Vial.</w:t>
      </w:r>
    </w:p>
    <w:p>
      <w:pPr>
        <w:suppressAutoHyphens/>
        <w:spacing w:after="0" w:line="240" w:lineRule="auto"/>
        <w:jc w:val="both"/>
        <w:rPr>
          <w:rFonts w:ascii="Arial" w:hAnsi="Arial" w:eastAsia="Times New Roman" w:cs="Arial"/>
          <w:b/>
          <w:sz w:val="20"/>
          <w:lang w:val="es-ES" w:bidi="hi-IN"/>
        </w:rPr>
      </w:pPr>
    </w:p>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b/>
          <w:sz w:val="20"/>
          <w:lang w:eastAsia="hi-IN" w:bidi="hi-IN"/>
        </w:rPr>
        <w:t>2.2.</w:t>
      </w:r>
      <w:r>
        <w:rPr>
          <w:rFonts w:ascii="Arial" w:hAnsi="Arial" w:eastAsia="Times New Roman" w:cs="Arial"/>
          <w:b/>
          <w:sz w:val="20"/>
          <w:lang w:eastAsia="hi-IN" w:bidi="hi-IN"/>
        </w:rPr>
        <w:tab/>
      </w:r>
      <w:r>
        <w:rPr>
          <w:rFonts w:ascii="Arial" w:hAnsi="Arial" w:eastAsia="Times New Roman" w:cs="Arial"/>
          <w:b/>
          <w:sz w:val="20"/>
          <w:lang w:eastAsia="hi-IN" w:bidi="hi-IN"/>
        </w:rPr>
        <w:t>Presupuesto referencial</w:t>
      </w:r>
      <w:r>
        <w:rPr>
          <w:rFonts w:ascii="Arial" w:hAnsi="Arial" w:eastAsia="Times New Roman" w:cs="Arial"/>
          <w:b/>
          <w:spacing w:val="-3"/>
          <w:sz w:val="20"/>
          <w:lang w:eastAsia="hi-IN" w:bidi="hi-IN"/>
        </w:rPr>
        <w:t xml:space="preserve">: </w:t>
      </w:r>
      <w:r>
        <w:rPr>
          <w:rFonts w:ascii="Arial" w:hAnsi="Arial" w:eastAsia="Times New Roman" w:cs="Arial"/>
          <w:spacing w:val="-3"/>
          <w:sz w:val="20"/>
          <w:lang w:eastAsia="hi-IN" w:bidi="hi-IN"/>
        </w:rPr>
        <w:t xml:space="preserve">El presupuesto referencial es </w:t>
      </w:r>
      <w:r>
        <w:rPr>
          <w:rFonts w:ascii="Arial" w:hAnsi="Arial" w:eastAsia="Times New Roman" w:cs="Arial"/>
          <w:spacing w:val="-2"/>
          <w:sz w:val="20"/>
          <w:lang w:eastAsia="hi-IN" w:bidi="hi-IN"/>
        </w:rPr>
        <w:t xml:space="preserve">de </w:t>
      </w:r>
      <w:r>
        <w:rPr>
          <w:rFonts w:ascii="Arial" w:hAnsi="Arial" w:eastAsia="Times New Roman" w:cs="Arial"/>
          <w:spacing w:val="-2"/>
          <w:szCs w:val="20"/>
          <w:lang w:eastAsia="hi-IN" w:bidi="hi-IN"/>
        </w:rPr>
        <w:t xml:space="preserve">USD </w:t>
      </w:r>
      <w:r>
        <w:rPr>
          <w:rFonts w:ascii="Arial" w:hAnsi="Arial" w:eastAsia="Times New Roman" w:cs="Arial"/>
          <w:b/>
          <w:sz w:val="20"/>
          <w:lang w:bidi="hi-IN"/>
        </w:rPr>
        <w:t xml:space="preserve">$1,141,387.91 </w:t>
      </w:r>
      <w:r>
        <w:rPr>
          <w:rFonts w:ascii="Arial" w:hAnsi="Arial" w:eastAsia="Times New Roman" w:cs="Arial"/>
          <w:sz w:val="20"/>
          <w:lang w:bidi="hi-IN"/>
        </w:rPr>
        <w:t>(UN MILLON CIENTO CUARENTA Y UN MIL TRECIENTOS OCHENTA Y SIETE CON 91/100/ DOLARES DE ESTADOS UNIDOS DE AMERICA)</w:t>
      </w:r>
      <w:r>
        <w:rPr>
          <w:rFonts w:ascii="Arial" w:hAnsi="Arial" w:eastAsia="Times New Roman" w:cs="Arial"/>
          <w:spacing w:val="-3"/>
          <w:sz w:val="20"/>
          <w:lang w:eastAsia="hi-IN" w:bidi="hi-IN"/>
        </w:rPr>
        <w:t>, NO INCLUYE</w:t>
      </w:r>
      <w:r>
        <w:rPr>
          <w:rFonts w:ascii="Arial" w:hAnsi="Arial" w:eastAsia="Times New Roman" w:cs="Arial"/>
          <w:spacing w:val="-2"/>
          <w:sz w:val="20"/>
          <w:lang w:eastAsia="hi-IN" w:bidi="hi-IN"/>
        </w:rPr>
        <w:t xml:space="preserve"> IVA</w:t>
      </w:r>
      <w:r>
        <w:rPr>
          <w:rFonts w:ascii="Arial" w:hAnsi="Arial" w:eastAsia="Times New Roman" w:cs="Arial"/>
          <w:spacing w:val="-3"/>
          <w:sz w:val="20"/>
          <w:lang w:eastAsia="hi-IN" w:bidi="hi-IN"/>
        </w:rPr>
        <w:t>.</w:t>
      </w:r>
    </w:p>
    <w:p>
      <w:pPr>
        <w:suppressAutoHyphens/>
        <w:spacing w:after="0" w:line="240" w:lineRule="auto"/>
        <w:jc w:val="both"/>
        <w:rPr>
          <w:rFonts w:ascii="Arial" w:hAnsi="Arial" w:eastAsia="Times New Roman" w:cs="Arial"/>
          <w:sz w:val="20"/>
          <w:lang w:val="es-ES" w:eastAsia="hi-IN" w:bidi="hi-IN"/>
        </w:rPr>
      </w:pPr>
    </w:p>
    <w:p>
      <w:pPr>
        <w:suppressAutoHyphens/>
        <w:spacing w:after="0" w:line="240" w:lineRule="auto"/>
        <w:jc w:val="both"/>
        <w:rPr>
          <w:rFonts w:ascii="Arial" w:hAnsi="Arial" w:eastAsia="Times New Roman" w:cs="Arial"/>
          <w:sz w:val="18"/>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 DE LAS AREPAS ENTRE SIN NOMBRE Y SIN NOMBRE</w:t>
      </w:r>
    </w:p>
    <w:p>
      <w:pPr>
        <w:suppressAutoHyphens/>
        <w:spacing w:after="0" w:line="240" w:lineRule="auto"/>
        <w:jc w:val="both"/>
        <w:rPr>
          <w:rFonts w:ascii="Arial" w:hAnsi="Arial" w:eastAsia="Times New Roman" w:cs="Arial"/>
          <w:b/>
          <w:sz w:val="18"/>
          <w:lang w:eastAsia="hi-IN" w:bidi="hi-IN"/>
        </w:rPr>
      </w:pPr>
    </w:p>
    <w:tbl>
      <w:tblPr>
        <w:tblStyle w:val="46"/>
        <w:tblW w:w="9335" w:type="dxa"/>
        <w:tblInd w:w="0" w:type="dxa"/>
        <w:tblLayout w:type="fixed"/>
        <w:tblCellMar>
          <w:top w:w="0" w:type="dxa"/>
          <w:left w:w="70" w:type="dxa"/>
          <w:bottom w:w="0" w:type="dxa"/>
          <w:right w:w="70" w:type="dxa"/>
        </w:tblCellMar>
      </w:tblPr>
      <w:tblGrid>
        <w:gridCol w:w="976"/>
        <w:gridCol w:w="4776"/>
        <w:gridCol w:w="767"/>
        <w:gridCol w:w="932"/>
        <w:gridCol w:w="866"/>
        <w:gridCol w:w="1018"/>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76"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76"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6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3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66"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1018"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76"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76"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76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32"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66"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1018"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76"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76"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6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96.40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167.06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41.31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162.94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69.83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178.30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713.21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Válvula HF d = 63 mm, sello de bronce sin anclajes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PVC d = 63 mm, U/E  1 MPA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HF d = 63 mm, U/E  1 MPA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agua potable aprobadas por ETAPA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0.72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 Importado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2.5 a 3 m, incluye encofrado metálico, excluye tapa, cerco y/o brocal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52.15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896.22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76.40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10,247.71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alcantarillado aprobadas por ETAPA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CANALIZACION TELEFONICA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290.36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174.21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435.54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261.32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495.18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2,365.00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70.20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68.63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268.75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51.23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904.75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9,559.87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canalización telefónica aprobadas por ETAPA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0.72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ILUMINACION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627.14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940.71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134.96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67.48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8,290.83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114.20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456.79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456.79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1,804.23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324.19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1,213.52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12,472.37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1.35x1.35x0.08 m con cerco y platina perimetral de 1/4" (tapa dos cuerpos)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811.35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1,022.90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4,091.59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32.45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432.72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2,163.59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154.52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1,545.42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515.74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2,163.59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2,318.13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1,159.07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63.05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63.05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31.53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51,144.90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13.78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4,260.27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 incluye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6,848.67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7,985.55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4,641.42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1,392.43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 base conformación y compactación con equipo pesado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928.28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696.21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4,641.42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4,641.42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79,855.50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684.87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Peinado de taludes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277.50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Estructural f´c = 300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2,320.71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116.10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1,160.36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3,481.07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774.00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DE CONTENCIÓN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1 : GAVIÓN, Abscisa Inicial: 0+460, Abscisa Final: 0+510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4,361.50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2 : GAVIÓN, Abscisa Inicial: 0+530, Abscisa Final: 0+547</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38.25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1,482.91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3: HORMIGÓN CICLÓPEO, Abscisa 0+540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mecánica de estructuras de hormigón ciclópeo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18.75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34.13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(40% H.S. y 60% piedra)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54.75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desagüe, d=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48.99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850.71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4: GAVIÓN, Abscisa Inicial: 0+570, Abscisa Final: 0+650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974.30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336.25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177.30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472.50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776.80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974.30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14,618.89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5: HORMIGÓN CICLÓPEO, Abscisa Inicial: 0+628,38, Abscisa Final: 0+675</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46.61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13.98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117.46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150.32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186.44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(40% H.S. y 60% piedra)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84.36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desagüe, d=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13.98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117.46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1,879.59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6: GAVIÓN, Abscisa Inicial: 0+675 Abscisa Final: 0+700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2,359.50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7: HORMIGÓN CICLÓPEO, Abscisa Inicial: 0+660, Abscisa Final: 0+690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75.60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251.25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35.16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(40% H.S. y 60% piedra)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129.80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75.60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1,381.38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SUBDREN, TRAMO 0+545 - 0+625</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perforada para dren, d=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Material filtrante para drenes, suministro y colocación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2,121.60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141.44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SEGURIDAD VIAL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180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Guardacaminos (simple, poste metálico), suministro y colocación, incluye gema reflectiva.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PrEx>
        <w:trPr>
          <w:trHeight w:val="270" w:hRule="atLeast"/>
        </w:trPr>
        <w:tc>
          <w:tcPr>
            <w:tcW w:w="7451"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66"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1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795,412.92</w:t>
            </w:r>
          </w:p>
        </w:tc>
      </w:tr>
    </w:tbl>
    <w:p>
      <w:pPr>
        <w:suppressAutoHyphens/>
        <w:spacing w:after="0" w:line="240" w:lineRule="auto"/>
        <w:jc w:val="both"/>
        <w:rPr>
          <w:rFonts w:ascii="Arial" w:hAnsi="Arial" w:eastAsia="Times New Roman" w:cs="Arial"/>
          <w:sz w:val="18"/>
          <w:lang w:val="es-ES" w:eastAsia="hi-IN" w:bidi="hi-IN"/>
        </w:rPr>
      </w:pPr>
    </w:p>
    <w:p>
      <w:pPr>
        <w:suppressAutoHyphens/>
        <w:spacing w:after="0" w:line="240" w:lineRule="auto"/>
        <w:jc w:val="both"/>
        <w:rPr>
          <w:rFonts w:ascii="Arial" w:hAnsi="Arial" w:eastAsia="Times New Roman" w:cs="Arial"/>
          <w:bCs/>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r>
        <w:rPr>
          <w:rFonts w:ascii="Arial" w:hAnsi="Arial" w:eastAsia="Times New Roman" w:cs="Arial"/>
          <w:b/>
          <w:sz w:val="18"/>
          <w:lang w:eastAsia="hi-IN" w:bidi="hi-IN"/>
        </w:rPr>
        <w:t>CALLE DEL ROSERO Y SIN NOMBRE ENTRE DE LOS RELAMPAGOS Y DE LOS QUESITOS</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84" w:type="dxa"/>
        <w:tblInd w:w="0" w:type="dxa"/>
        <w:tblLayout w:type="fixed"/>
        <w:tblCellMar>
          <w:top w:w="0" w:type="dxa"/>
          <w:left w:w="70" w:type="dxa"/>
          <w:bottom w:w="0" w:type="dxa"/>
          <w:right w:w="70" w:type="dxa"/>
        </w:tblCellMar>
      </w:tblPr>
      <w:tblGrid>
        <w:gridCol w:w="988"/>
        <w:gridCol w:w="4677"/>
        <w:gridCol w:w="848"/>
        <w:gridCol w:w="993"/>
        <w:gridCol w:w="848"/>
        <w:gridCol w:w="1030"/>
      </w:tblGrid>
      <w:tr>
        <w:tblPrEx>
          <w:tblLayout w:type="fixed"/>
          <w:tblCellMar>
            <w:top w:w="0" w:type="dxa"/>
            <w:left w:w="70" w:type="dxa"/>
            <w:bottom w:w="0" w:type="dxa"/>
            <w:right w:w="70" w:type="dxa"/>
          </w:tblCellMar>
        </w:tblPrEx>
        <w:trPr>
          <w:trHeight w:val="270" w:hRule="atLeast"/>
        </w:trPr>
        <w:tc>
          <w:tcPr>
            <w:tcW w:w="9384"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8"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48"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93"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48"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1030"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8"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848"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3"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48"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103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8"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48"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261.57</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56.69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112.10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24.29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119.69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51.30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0.64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107.66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430.64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HF d = 63 mm, U/E  1 MPA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HF d = 63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 a 2.5 m, incluye encofrado metálico, excluye tapa, cerco y/o brocal</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PVC para alcantarillado, varias dimensiones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Tuberia PVC para alcantarillado U/E D=200mm serie 5, tipo B, suministro e instalación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38.09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602.46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6,905.56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alcantarillado U/E D=315mm serie 5, tipo B, suministro e instalación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CANALIZACION TELEFONICA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107.06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64.24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160.58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96.35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181.94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45.48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774.00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13.38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46.98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35.26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19.38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335.80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3,551.80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0.23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ILUMINACION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27.70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41.56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317.13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27.26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27.26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76.11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13.67</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53.61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551.05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1.35x1.35x0.08 m con cerco y platina perimetral de 1/4" (tapa dos cuerpos)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470.67</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226.43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905.72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39.93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138.46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692.30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23.17</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33.59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494.50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165.03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692.30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741.75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370.88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13.76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11,321.50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 incluye retroexcavadora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650.02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62.92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1,094.51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1,276.20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1,236.25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432.69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185.44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1,236.25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1,236.25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12,762.00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109.45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741.75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80.63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370.88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989.00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247.00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506"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48"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3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164,471.83</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r>
        <w:rPr>
          <w:rFonts w:ascii="Arial" w:hAnsi="Arial" w:eastAsia="Times New Roman" w:cs="Arial"/>
          <w:b/>
          <w:sz w:val="18"/>
          <w:lang w:eastAsia="hi-IN" w:bidi="hi-IN"/>
        </w:rPr>
        <w:t>CALLE RETORNO SIN NOMBRE DA A LAS QUESADILLAS</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87"/>
        <w:gridCol w:w="4671"/>
        <w:gridCol w:w="849"/>
        <w:gridCol w:w="991"/>
        <w:gridCol w:w="849"/>
        <w:gridCol w:w="988"/>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8"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1"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8"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7"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1"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9.48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9.27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37.07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57.25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655.08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20.62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82.50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21.85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109.26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13.60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78.05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109.26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117.07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58.53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1,031.20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49.08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114.62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133.65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195.11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48.78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29.27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195.11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195.11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1,336.50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11.46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117.07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80.63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58.53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156.09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7498"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49"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20,504.79</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 xml:space="preserve">CALLE DE LAS QUESADILLAS ENTRE SIN NOMBRE Y QUESADILLAS (FILO DE PAVIMENTO)  </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85"/>
        <w:gridCol w:w="4677"/>
        <w:gridCol w:w="851"/>
        <w:gridCol w:w="993"/>
        <w:gridCol w:w="851"/>
        <w:gridCol w:w="978"/>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5"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93"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78"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3"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78"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76.57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31.47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32.82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13.49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17.89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29.57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118.29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HF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HF d = 63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175.30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16.98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1,978.96</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CANALIZACION TELEFONICA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24.02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14.41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36.02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21.61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42.54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10.63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139.75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8.49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74.35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784.75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173.78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67.41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269.65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12.19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64.72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323.58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42.80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28.70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231.13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323.58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346.69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3,370.60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158.87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44.89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434.54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506.68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577.81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86.67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577.81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577.81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5,066.80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43.45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346.69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80.63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462.25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506"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51"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7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63,444.81</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r>
        <w:rPr>
          <w:rFonts w:ascii="Arial" w:hAnsi="Arial" w:eastAsia="Times New Roman" w:cs="Arial"/>
          <w:b/>
          <w:sz w:val="18"/>
          <w:lang w:eastAsia="hi-IN" w:bidi="hi-IN"/>
        </w:rPr>
        <w:t>CALLE DEL AGUA DE PITIMAS ENTRE MANUEL ANTONIO BORRERO Y SIN NOMBRE</w:t>
      </w:r>
    </w:p>
    <w:tbl>
      <w:tblPr>
        <w:tblStyle w:val="46"/>
        <w:tblW w:w="9335" w:type="dxa"/>
        <w:tblInd w:w="0" w:type="dxa"/>
        <w:tblLayout w:type="fixed"/>
        <w:tblCellMar>
          <w:top w:w="0" w:type="dxa"/>
          <w:left w:w="70" w:type="dxa"/>
          <w:bottom w:w="0" w:type="dxa"/>
          <w:right w:w="70" w:type="dxa"/>
        </w:tblCellMar>
      </w:tblPr>
      <w:tblGrid>
        <w:gridCol w:w="987"/>
        <w:gridCol w:w="4677"/>
        <w:gridCol w:w="851"/>
        <w:gridCol w:w="991"/>
        <w:gridCol w:w="849"/>
        <w:gridCol w:w="980"/>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7"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101.44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57.97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43.47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24.85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42.35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18.15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0.21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49.51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198.03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HF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 a 2.5 m, incluye encofrado metálico, excluye tapa, cerco y/o brocal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13.47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279.32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3,178.41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CANALIZACION TELEFONICA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68.27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40.96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102.40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61.44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108.48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731.00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7.57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28.70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107.50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12.26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213.69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2,259.44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270.90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165.55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662.19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19.87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96.32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481.60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60.73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114.80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481.60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258.00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8,277.40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548.90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0.48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0.65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 incluye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667.19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777.94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129.00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7,779.40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66.72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80.63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258.00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688.00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506"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49"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97,553.56</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bCs/>
          <w:sz w:val="20"/>
          <w:szCs w:val="20"/>
          <w:lang w:val="es-ES" w:eastAsia="hi-IN" w:bidi="hi-IN"/>
        </w:rPr>
        <w:t>2.3.</w:t>
      </w:r>
      <w:r>
        <w:rPr>
          <w:rFonts w:ascii="Arial" w:hAnsi="Arial" w:eastAsia="Times New Roman" w:cs="Arial"/>
          <w:b/>
          <w:bCs/>
          <w:sz w:val="20"/>
          <w:szCs w:val="20"/>
          <w:lang w:val="es-ES" w:eastAsia="hi-IN" w:bidi="hi-IN"/>
        </w:rPr>
        <w:tab/>
      </w:r>
      <w:r>
        <w:rPr>
          <w:rFonts w:ascii="Arial" w:hAnsi="Arial" w:eastAsia="Times New Roman" w:cs="Arial"/>
          <w:b/>
          <w:bCs/>
          <w:sz w:val="20"/>
          <w:szCs w:val="20"/>
          <w:lang w:val="es-ES" w:eastAsia="hi-IN" w:bidi="hi-IN"/>
        </w:rPr>
        <w:t xml:space="preserve">Especificaciones técnicas: </w:t>
      </w:r>
      <w:r>
        <w:rPr>
          <w:rFonts w:ascii="Arial" w:hAnsi="Arial" w:eastAsia="Times New Roman" w:cs="Arial"/>
          <w:sz w:val="20"/>
          <w:szCs w:val="20"/>
          <w:lang w:val="es-ES" w:eastAsia="hi-IN" w:bidi="hi-IN"/>
        </w:rPr>
        <w:t>Se incluyen las especificaciones técnicas del proyecto, considerando todos los rubros a contratarse; los estudios y diseños previos, completos, definitivos y actualizados correspondientes; y, los estudios de prevención/mitigación de impactos ambientales.</w:t>
      </w:r>
    </w:p>
    <w:p>
      <w:pPr>
        <w:tabs>
          <w:tab w:val="left" w:pos="1620"/>
        </w:tabs>
        <w:suppressAutoHyphens/>
        <w:spacing w:after="0" w:line="240" w:lineRule="auto"/>
        <w:jc w:val="both"/>
        <w:rPr>
          <w:rFonts w:ascii="Arial" w:hAnsi="Arial" w:eastAsia="Times New Roman" w:cs="Arial"/>
          <w:spacing w:val="-2"/>
          <w:sz w:val="20"/>
          <w:szCs w:val="20"/>
          <w:lang w:eastAsia="hi-IN" w:bidi="hi-IN"/>
        </w:rPr>
      </w:pPr>
    </w:p>
    <w:p>
      <w:pPr>
        <w:tabs>
          <w:tab w:val="left" w:pos="1620"/>
        </w:tabs>
        <w:suppressAutoHyphens/>
        <w:spacing w:after="0" w:line="240" w:lineRule="auto"/>
        <w:jc w:val="both"/>
        <w:rPr>
          <w:rFonts w:ascii="Arial" w:hAnsi="Arial" w:eastAsia="Times New Roman" w:cs="Arial"/>
          <w:b/>
          <w:sz w:val="20"/>
          <w:szCs w:val="20"/>
          <w:lang w:bidi="hi-IN"/>
        </w:rPr>
      </w:pPr>
      <w:r>
        <w:rPr>
          <w:rFonts w:ascii="Arial" w:hAnsi="Arial" w:eastAsia="Times New Roman" w:cs="Arial"/>
          <w:b/>
          <w:sz w:val="20"/>
          <w:szCs w:val="20"/>
          <w:lang w:val="es-ES" w:eastAsia="hi-IN" w:bidi="hi-IN"/>
        </w:rPr>
        <w:t xml:space="preserve">LAS ESPECIFICACIONES TÉCNICAS del presente proceso se encuentran como anexo de estos pliegos en la página </w:t>
      </w:r>
      <w:r>
        <w:fldChar w:fldCharType="begin"/>
      </w:r>
      <w:r>
        <w:instrText xml:space="preserve"> HYPERLINK "http://www.cuenca.gob.ec" </w:instrText>
      </w:r>
      <w:r>
        <w:fldChar w:fldCharType="separate"/>
      </w:r>
      <w:r>
        <w:rPr>
          <w:rStyle w:val="42"/>
          <w:rFonts w:ascii="Arial" w:hAnsi="Arial" w:eastAsia="Times New Roman" w:cs="Arial"/>
          <w:b/>
          <w:color w:val="auto"/>
          <w:sz w:val="20"/>
          <w:szCs w:val="20"/>
          <w:lang w:val="es-ES" w:eastAsia="hi-IN" w:bidi="hi-IN"/>
        </w:rPr>
        <w:t>www.cuenca.gob.ec</w:t>
      </w:r>
      <w:r>
        <w:rPr>
          <w:rStyle w:val="42"/>
          <w:rFonts w:ascii="Arial" w:hAnsi="Arial" w:eastAsia="Times New Roman" w:cs="Arial"/>
          <w:b/>
          <w:color w:val="auto"/>
          <w:sz w:val="20"/>
          <w:szCs w:val="20"/>
          <w:lang w:val="es-ES" w:eastAsia="hi-IN" w:bidi="hi-IN"/>
        </w:rPr>
        <w:fldChar w:fldCharType="end"/>
      </w:r>
      <w:r>
        <w:rPr>
          <w:rFonts w:ascii="Arial" w:hAnsi="Arial" w:eastAsia="Times New Roman" w:cs="Arial"/>
          <w:b/>
          <w:sz w:val="20"/>
          <w:szCs w:val="20"/>
          <w:lang w:val="es-ES" w:eastAsia="hi-IN" w:bidi="hi-IN"/>
        </w:rPr>
        <w:t xml:space="preserve"> en la Sección Convocatoria CAF “Barrio para mejor Vivir Fase II”</w:t>
      </w:r>
      <w:r>
        <w:rPr>
          <w:rFonts w:ascii="Arial" w:hAnsi="Arial" w:eastAsia="Calibri" w:cs="Arial"/>
          <w:b/>
          <w:spacing w:val="-2"/>
          <w:sz w:val="20"/>
          <w:szCs w:val="20"/>
          <w:lang w:eastAsia="hi-IN" w:bidi="hi-IN"/>
        </w:rPr>
        <w:t>; si el tamaño del archivo supera la capacidad de almacenamiento prevista en el portal, estarán a disposición de los proveedores interesados en forma magnética</w:t>
      </w:r>
      <w:r>
        <w:rPr>
          <w:rFonts w:ascii="Arial" w:hAnsi="Arial" w:eastAsia="Calibri" w:cs="Arial"/>
          <w:b/>
          <w:sz w:val="20"/>
          <w:szCs w:val="20"/>
          <w:lang w:eastAsia="hi-IN" w:bidi="hi-IN"/>
        </w:rPr>
        <w:t xml:space="preserve">, </w:t>
      </w:r>
      <w:r>
        <w:rPr>
          <w:rFonts w:ascii="Arial" w:hAnsi="Arial" w:eastAsia="Calibri" w:cs="Arial"/>
          <w:b/>
          <w:spacing w:val="-2"/>
          <w:sz w:val="20"/>
          <w:szCs w:val="20"/>
          <w:lang w:eastAsia="hi-IN" w:bidi="hi-IN"/>
        </w:rPr>
        <w:t xml:space="preserve">en la Dirección de </w:t>
      </w:r>
      <w:r>
        <w:rPr>
          <w:rFonts w:ascii="Arial" w:hAnsi="Arial" w:eastAsia="Times New Roman" w:cs="Arial"/>
          <w:b/>
          <w:spacing w:val="-2"/>
          <w:sz w:val="20"/>
          <w:szCs w:val="20"/>
          <w:lang w:eastAsia="hi-IN" w:bidi="hi-IN"/>
        </w:rPr>
        <w:t>Compras Públicas del GAD Municipal del cantón Cuenca, ubicada en la calle Sucre y Benigno Malo (Edificio Municipal) Séptimo Piso.</w:t>
      </w:r>
    </w:p>
    <w:p>
      <w:pPr>
        <w:tabs>
          <w:tab w:val="left" w:pos="1620"/>
        </w:tabs>
        <w:suppressAutoHyphens/>
        <w:spacing w:after="0" w:line="240" w:lineRule="auto"/>
        <w:jc w:val="both"/>
        <w:rPr>
          <w:rFonts w:ascii="Arial" w:hAnsi="Arial" w:eastAsia="Times New Roman" w:cs="Arial"/>
          <w:spacing w:val="-2"/>
          <w:sz w:val="20"/>
          <w:szCs w:val="20"/>
          <w:lang w:eastAsia="hi-IN" w:bidi="hi-IN"/>
        </w:rPr>
      </w:pPr>
    </w:p>
    <w:p>
      <w:pPr>
        <w:tabs>
          <w:tab w:val="left" w:pos="1620"/>
        </w:tabs>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spacing w:val="-3"/>
          <w:sz w:val="20"/>
          <w:szCs w:val="20"/>
          <w:lang w:eastAsia="hi-IN" w:bidi="hi-IN"/>
        </w:rPr>
        <w:t xml:space="preserve">2.3.1 Planos del área intervenida: </w:t>
      </w:r>
      <w:r>
        <w:rPr>
          <w:rFonts w:ascii="Arial" w:hAnsi="Arial" w:eastAsia="Times New Roman" w:cs="Arial"/>
          <w:sz w:val="20"/>
          <w:szCs w:val="20"/>
          <w:lang w:eastAsia="hi-IN" w:bidi="hi-IN"/>
        </w:rPr>
        <w:t>Los planos completos son parte del pliego, y se publicarán en el Portal web de la entidad contratante, como un anexo y estarán a disposición de los proveedores interesados en forma magnética.</w:t>
      </w:r>
    </w:p>
    <w:p>
      <w:pPr>
        <w:tabs>
          <w:tab w:val="left" w:pos="1620"/>
        </w:tabs>
        <w:suppressAutoHyphens/>
        <w:spacing w:after="0" w:line="240" w:lineRule="auto"/>
        <w:jc w:val="both"/>
        <w:rPr>
          <w:rFonts w:ascii="Arial" w:hAnsi="Arial" w:eastAsia="Times New Roman" w:cs="Arial"/>
          <w:b/>
          <w:sz w:val="20"/>
          <w:szCs w:val="20"/>
          <w:lang w:bidi="hi-IN"/>
        </w:rPr>
      </w:pPr>
    </w:p>
    <w:p>
      <w:pPr>
        <w:suppressAutoHyphens/>
        <w:spacing w:after="0" w:line="240" w:lineRule="auto"/>
        <w:jc w:val="both"/>
        <w:rPr>
          <w:rFonts w:ascii="Arial" w:hAnsi="Arial" w:eastAsia="Times New Roman" w:cs="Arial"/>
          <w:i/>
          <w:spacing w:val="-3"/>
          <w:sz w:val="20"/>
          <w:szCs w:val="20"/>
          <w:lang w:eastAsia="hi-IN" w:bidi="hi-IN"/>
        </w:rPr>
      </w:pPr>
      <w:r>
        <w:rPr>
          <w:rFonts w:ascii="Arial" w:hAnsi="Arial" w:eastAsia="Times New Roman" w:cs="Arial"/>
          <w:b/>
          <w:spacing w:val="-3"/>
          <w:sz w:val="20"/>
          <w:szCs w:val="20"/>
          <w:lang w:eastAsia="hi-IN" w:bidi="hi-IN"/>
        </w:rPr>
        <w:t>2.3.2.</w:t>
      </w:r>
      <w:r>
        <w:rPr>
          <w:rFonts w:ascii="Arial" w:hAnsi="Arial" w:eastAsia="Times New Roman" w:cs="Arial"/>
          <w:b/>
          <w:spacing w:val="-3"/>
          <w:sz w:val="20"/>
          <w:szCs w:val="20"/>
          <w:lang w:eastAsia="hi-IN" w:bidi="hi-IN"/>
        </w:rPr>
        <w:tab/>
      </w:r>
      <w:r>
        <w:rPr>
          <w:rFonts w:ascii="Arial" w:hAnsi="Arial" w:eastAsia="Times New Roman" w:cs="Arial"/>
          <w:b/>
          <w:spacing w:val="-3"/>
          <w:sz w:val="20"/>
          <w:szCs w:val="20"/>
          <w:lang w:eastAsia="hi-IN" w:bidi="hi-IN"/>
        </w:rPr>
        <w:t xml:space="preserve">Equipo mínimo: </w:t>
      </w:r>
      <w:r>
        <w:rPr>
          <w:rFonts w:ascii="Arial" w:hAnsi="Arial" w:eastAsia="Times New Roman" w:cs="Arial"/>
          <w:spacing w:val="-3"/>
          <w:sz w:val="20"/>
          <w:szCs w:val="20"/>
          <w:lang w:eastAsia="hi-IN" w:bidi="hi-IN"/>
        </w:rPr>
        <w:t>Para la ejecución de la obra, materia del presente procedimiento, el Contratista deberá contar mínimo con el siguiente equipo</w:t>
      </w:r>
      <w:r>
        <w:rPr>
          <w:rFonts w:ascii="Arial" w:hAnsi="Arial" w:eastAsia="Times New Roman" w:cs="Arial"/>
          <w:i/>
          <w:spacing w:val="-3"/>
          <w:sz w:val="20"/>
          <w:szCs w:val="20"/>
          <w:lang w:eastAsia="hi-IN" w:bidi="hi-IN"/>
        </w:rPr>
        <w:t>.</w:t>
      </w:r>
    </w:p>
    <w:p>
      <w:pPr>
        <w:suppressAutoHyphens/>
        <w:spacing w:after="0" w:line="240" w:lineRule="auto"/>
        <w:jc w:val="both"/>
        <w:rPr>
          <w:rFonts w:ascii="Arial" w:hAnsi="Arial" w:eastAsia="Times New Roman" w:cs="Arial"/>
          <w:i/>
          <w:spacing w:val="-3"/>
          <w:sz w:val="20"/>
          <w:szCs w:val="20"/>
          <w:lang w:eastAsia="hi-IN" w:bidi="hi-IN"/>
        </w:rPr>
      </w:pPr>
    </w:p>
    <w:tbl>
      <w:tblPr>
        <w:tblStyle w:val="46"/>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377"/>
        <w:gridCol w:w="11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33"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eastAsia="hi-IN" w:bidi="hi-IN"/>
              </w:rPr>
              <w:t>No. orden</w:t>
            </w:r>
          </w:p>
        </w:tc>
        <w:tc>
          <w:tcPr>
            <w:tcW w:w="3377"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val="pt-BR" w:eastAsia="hi-IN" w:bidi="hi-IN"/>
              </w:rPr>
              <w:t>Descripción del equipo</w:t>
            </w:r>
          </w:p>
        </w:tc>
        <w:tc>
          <w:tcPr>
            <w:tcW w:w="113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eastAsia="hi-IN" w:bidi="hi-IN"/>
              </w:rPr>
              <w:t>No. de unidades</w:t>
            </w:r>
          </w:p>
        </w:tc>
        <w:tc>
          <w:tcPr>
            <w:tcW w:w="357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eastAsia="hi-IN" w:bidi="hi-IN"/>
              </w:rPr>
              <w:t>Características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b/>
                <w:spacing w:val="-2"/>
                <w:sz w:val="20"/>
                <w:szCs w:val="20"/>
                <w:highlight w:val="yellow"/>
                <w:lang w:eastAsia="hi-IN" w:bidi="hi-IN"/>
              </w:rPr>
            </w:pPr>
            <w:r>
              <w:rPr>
                <w:rFonts w:ascii="Arial" w:hAnsi="Arial" w:eastAsia="Times New Roman" w:cs="Arial"/>
                <w:sz w:val="20"/>
                <w:szCs w:val="20"/>
                <w:lang w:val="es-ES" w:eastAsia="es-ES" w:bidi="hi-IN"/>
              </w:rPr>
              <w:t xml:space="preserve">Retroexcavadora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Mínimo 90 HP.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bCs/>
                <w:spacing w:val="-3"/>
                <w:sz w:val="20"/>
                <w:szCs w:val="20"/>
                <w:lang w:eastAsia="hi-IN" w:bidi="hi-IN"/>
              </w:rPr>
              <w:t xml:space="preserve">Minicargadora  con </w:t>
            </w:r>
            <w:r>
              <w:rPr>
                <w:rFonts w:ascii="Arial" w:hAnsi="Arial" w:eastAsia="Times New Roman" w:cs="Arial"/>
                <w:sz w:val="20"/>
                <w:szCs w:val="20"/>
                <w:lang w:val="es-ES" w:eastAsia="es-ES" w:bidi="hi-IN"/>
              </w:rPr>
              <w:t>escoba mecánica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60 HP. Escoba con cepillo auto cambiable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3</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Motoniveladora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125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4</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Rodillo compactador liso (Tándem)</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100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5</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Rodillo neumático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85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6</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Distribuidor de asfalto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1500 galones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7</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Acabadora de pavimento asfáltico (finisher)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150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8</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Tanquero de agua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6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9</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highlight w:val="yellow"/>
                <w:lang w:val="es-ES" w:eastAsia="es-ES" w:bidi="hi-IN"/>
              </w:rPr>
            </w:pPr>
            <w:r>
              <w:rPr>
                <w:rFonts w:ascii="Arial" w:hAnsi="Arial" w:eastAsia="Times New Roman" w:cs="Arial"/>
                <w:sz w:val="20"/>
                <w:szCs w:val="20"/>
                <w:lang w:val="es-ES" w:eastAsia="es-ES" w:bidi="hi-IN"/>
              </w:rPr>
              <w:t xml:space="preserve">Volquetas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4</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8,00 m³ o 12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10</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Vibroapisonador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3</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4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Plancha compactadora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4,8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Vibrador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Eléctrico o a gasolina</w:t>
            </w:r>
          </w:p>
        </w:tc>
      </w:tr>
    </w:tbl>
    <w:p>
      <w:pPr>
        <w:tabs>
          <w:tab w:val="left" w:pos="3196"/>
        </w:tabs>
        <w:suppressAutoHyphens/>
        <w:spacing w:after="0" w:line="240" w:lineRule="auto"/>
        <w:rPr>
          <w:rFonts w:ascii="Arial" w:hAnsi="Arial" w:eastAsia="Times New Roman" w:cs="Arial"/>
          <w:b/>
          <w:sz w:val="20"/>
          <w:szCs w:val="24"/>
          <w:lang w:eastAsia="hi-IN" w:bidi="hi-IN"/>
        </w:rPr>
      </w:pPr>
    </w:p>
    <w:p>
      <w:pPr>
        <w:jc w:val="center"/>
        <w:rPr>
          <w:rFonts w:ascii="Arial" w:hAnsi="Arial" w:eastAsia="Times New Roman" w:cs="Arial"/>
          <w:b/>
          <w:sz w:val="20"/>
          <w:szCs w:val="24"/>
          <w:lang w:eastAsia="hi-IN" w:bidi="hi-IN"/>
        </w:rPr>
      </w:pPr>
      <w:r>
        <w:rPr>
          <w:rFonts w:ascii="Times New Roman" w:hAnsi="Times New Roman" w:cs="Times New Roman"/>
          <w:i/>
        </w:rPr>
        <w:t>Los Equipos y maquinaria que vayan a utilizarse en los procesos de contratación pública, con cualquier entidad u organismo del Estado, no podrán exceder los veinte y cinco años de vida útil contados a partir del año de fabricación y en relación a la fecha de la convocatoria pública. “Acuerdo Ministerial No. 79 del Registro oficial No.62 de fecha 21 de Octubre de 2012, disposición General Segunda.</w:t>
      </w:r>
      <w:r>
        <w:rPr>
          <w:rFonts w:ascii="Arial" w:hAnsi="Arial" w:eastAsia="Times New Roman" w:cs="Arial"/>
          <w:b/>
          <w:sz w:val="20"/>
          <w:szCs w:val="24"/>
          <w:lang w:eastAsia="hi-IN" w:bidi="hi-IN"/>
        </w:rPr>
        <w:br w:type="page"/>
      </w:r>
    </w:p>
    <w:p>
      <w:pPr>
        <w:jc w:val="center"/>
        <w:rPr>
          <w:rFonts w:ascii="Arial" w:hAnsi="Arial" w:eastAsia="Times New Roman" w:cs="Arial"/>
          <w:b/>
          <w:sz w:val="20"/>
          <w:szCs w:val="24"/>
          <w:lang w:eastAsia="hi-IN" w:bidi="hi-IN"/>
        </w:rPr>
      </w:pPr>
      <w:r>
        <w:rPr>
          <w:rFonts w:ascii="Arial" w:hAnsi="Arial" w:eastAsia="Times New Roman" w:cs="Arial"/>
          <w:b/>
          <w:sz w:val="20"/>
          <w:szCs w:val="24"/>
          <w:lang w:eastAsia="hi-IN" w:bidi="hi-IN"/>
        </w:rPr>
        <w:t>SECCION III</w:t>
      </w:r>
    </w:p>
    <w:p>
      <w:pPr>
        <w:tabs>
          <w:tab w:val="left" w:pos="3196"/>
        </w:tabs>
        <w:suppressAutoHyphens/>
        <w:spacing w:after="0" w:line="240" w:lineRule="auto"/>
        <w:jc w:val="center"/>
        <w:rPr>
          <w:rFonts w:ascii="Arial" w:hAnsi="Arial" w:eastAsia="Times New Roman" w:cs="Arial"/>
          <w:b/>
          <w:sz w:val="20"/>
          <w:szCs w:val="24"/>
          <w:lang w:eastAsia="hi-IN" w:bidi="hi-IN"/>
        </w:rPr>
      </w:pPr>
    </w:p>
    <w:p>
      <w:pPr>
        <w:tabs>
          <w:tab w:val="left" w:pos="3196"/>
        </w:tabs>
        <w:suppressAutoHyphens/>
        <w:spacing w:after="0" w:line="240" w:lineRule="auto"/>
        <w:jc w:val="center"/>
        <w:rPr>
          <w:rFonts w:ascii="Arial" w:hAnsi="Arial" w:eastAsia="Times New Roman" w:cs="Arial"/>
          <w:b/>
          <w:sz w:val="20"/>
          <w:szCs w:val="24"/>
          <w:lang w:eastAsia="hi-IN" w:bidi="hi-IN"/>
        </w:rPr>
      </w:pPr>
      <w:r>
        <w:rPr>
          <w:rFonts w:ascii="Arial" w:hAnsi="Arial" w:eastAsia="Times New Roman" w:cs="Arial"/>
          <w:b/>
          <w:sz w:val="20"/>
          <w:szCs w:val="24"/>
          <w:lang w:eastAsia="hi-IN" w:bidi="hi-IN"/>
        </w:rPr>
        <w:t>CONDICIONES DEL PROCEDIMIENTO</w:t>
      </w:r>
    </w:p>
    <w:p>
      <w:pPr>
        <w:tabs>
          <w:tab w:val="left" w:pos="3196"/>
        </w:tabs>
        <w:suppressAutoHyphens/>
        <w:spacing w:after="0" w:line="240" w:lineRule="auto"/>
        <w:jc w:val="center"/>
        <w:rPr>
          <w:rFonts w:ascii="Arial" w:hAnsi="Arial" w:eastAsia="Times New Roman" w:cs="Arial"/>
          <w:sz w:val="18"/>
          <w:lang w:eastAsia="hi-IN" w:bidi="hi-IN"/>
        </w:rPr>
      </w:pPr>
    </w:p>
    <w:p>
      <w:pPr>
        <w:suppressAutoHyphens/>
        <w:spacing w:after="0" w:line="240" w:lineRule="auto"/>
        <w:jc w:val="both"/>
        <w:rPr>
          <w:rFonts w:ascii="Times New Roman" w:hAnsi="Times New Roman" w:eastAsia="Times New Roman" w:cs="Arial"/>
          <w:i/>
          <w:iCs/>
          <w:sz w:val="18"/>
          <w:u w:val="single"/>
          <w:lang w:eastAsia="hi-IN" w:bidi="hi-IN"/>
        </w:rPr>
      </w:pPr>
      <w:r>
        <w:rPr>
          <w:rFonts w:ascii="Arial" w:hAnsi="Arial" w:eastAsia="Times New Roman" w:cs="Arial"/>
          <w:b/>
          <w:sz w:val="18"/>
          <w:lang w:eastAsia="hi-IN" w:bidi="hi-IN"/>
        </w:rPr>
        <w:t>3.1</w:t>
      </w:r>
      <w:r>
        <w:rPr>
          <w:rFonts w:ascii="Arial" w:hAnsi="Arial" w:eastAsia="Times New Roman" w:cs="Arial"/>
          <w:b/>
          <w:sz w:val="18"/>
          <w:lang w:eastAsia="hi-IN" w:bidi="hi-IN"/>
        </w:rPr>
        <w:tab/>
      </w:r>
      <w:r>
        <w:rPr>
          <w:rFonts w:ascii="Arial" w:hAnsi="Arial" w:eastAsia="Times New Roman" w:cs="Arial"/>
          <w:b/>
          <w:sz w:val="18"/>
          <w:lang w:eastAsia="hi-IN" w:bidi="hi-IN"/>
        </w:rPr>
        <w:t xml:space="preserve">Cronograma del procedimiento: </w:t>
      </w:r>
      <w:r>
        <w:rPr>
          <w:rFonts w:ascii="Arial" w:hAnsi="Arial" w:eastAsia="Times New Roman" w:cs="Arial"/>
          <w:sz w:val="18"/>
          <w:lang w:eastAsia="hi-IN" w:bidi="hi-IN"/>
        </w:rPr>
        <w:t>El cronograma que regirá el procedimiento será el siguiente:</w:t>
      </w:r>
    </w:p>
    <w:p>
      <w:pPr>
        <w:suppressAutoHyphens/>
        <w:spacing w:after="0" w:line="240" w:lineRule="auto"/>
        <w:rPr>
          <w:rFonts w:ascii="Arial" w:hAnsi="Arial" w:eastAsia="Times New Roman" w:cs="Arial"/>
          <w:sz w:val="18"/>
          <w:lang w:eastAsia="hi-IN" w:bidi="hi-IN"/>
        </w:rPr>
      </w:pPr>
    </w:p>
    <w:p>
      <w:pPr>
        <w:suppressAutoHyphens/>
        <w:spacing w:after="0" w:line="240" w:lineRule="auto"/>
        <w:rPr>
          <w:rFonts w:ascii="Arial" w:hAnsi="Arial" w:eastAsia="Times New Roman" w:cs="Arial"/>
          <w:sz w:val="18"/>
          <w:lang w:eastAsia="hi-IN" w:bidi="hi-IN"/>
        </w:rPr>
      </w:pPr>
      <w:r>
        <w:rPr>
          <w:rFonts w:ascii="Arial" w:hAnsi="Arial" w:eastAsia="Times New Roman" w:cs="Arial"/>
          <w:i/>
          <w:iCs/>
          <w:vanish/>
          <w:sz w:val="18"/>
          <w:lang w:eastAsia="hi-IN" w:bidi="hi-IN"/>
        </w:rPr>
        <w:cr/>
      </w:r>
      <w:r>
        <w:rPr>
          <w:rFonts w:ascii="Arial" w:hAnsi="Arial" w:eastAsia="Times New Roman" w:cs="Arial"/>
          <w:i/>
          <w:iCs/>
          <w:vanish/>
          <w:sz w:val="18"/>
          <w:lang w:eastAsia="hi-IN" w:bidi="hi-IN"/>
        </w:rPr>
        <w:t>oraeptotimada de adjudicacifertas tecncia y economica</w:t>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sz w:val="18"/>
          <w:lang w:eastAsia="hi-IN" w:bidi="hi-IN"/>
        </w:rPr>
        <w:t xml:space="preserve"> </w:t>
      </w:r>
    </w:p>
    <w:tbl>
      <w:tblPr>
        <w:tblStyle w:val="46"/>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7"/>
        <w:gridCol w:w="2872"/>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837" w:type="dxa"/>
            <w:shd w:val="clear" w:color="auto" w:fill="D9D9D9"/>
            <w:vAlign w:val="center"/>
          </w:tcPr>
          <w:p>
            <w:pPr>
              <w:suppressAutoHyphens/>
              <w:spacing w:after="0" w:line="240" w:lineRule="auto"/>
              <w:jc w:val="center"/>
              <w:rPr>
                <w:rFonts w:ascii="Arial" w:hAnsi="Arial" w:eastAsia="Times New Roman" w:cs="Arial"/>
                <w:b/>
                <w:iCs/>
                <w:sz w:val="20"/>
                <w:lang w:eastAsia="hi-IN" w:bidi="hi-IN"/>
              </w:rPr>
            </w:pPr>
            <w:r>
              <w:rPr>
                <w:rFonts w:ascii="Arial" w:hAnsi="Arial" w:eastAsia="Times New Roman" w:cs="Arial"/>
                <w:b/>
                <w:iCs/>
                <w:sz w:val="18"/>
                <w:lang w:eastAsia="hi-IN" w:bidi="hi-IN"/>
              </w:rPr>
              <w:t>Concepto</w:t>
            </w:r>
          </w:p>
        </w:tc>
        <w:tc>
          <w:tcPr>
            <w:tcW w:w="2872" w:type="dxa"/>
            <w:shd w:val="clear" w:color="auto" w:fill="D9D9D9"/>
            <w:vAlign w:val="center"/>
          </w:tcPr>
          <w:p>
            <w:pPr>
              <w:suppressAutoHyphens/>
              <w:spacing w:after="0" w:line="240" w:lineRule="auto"/>
              <w:jc w:val="center"/>
              <w:rPr>
                <w:rFonts w:ascii="Arial" w:hAnsi="Arial" w:eastAsia="Times New Roman" w:cs="Arial"/>
                <w:b/>
                <w:iCs/>
                <w:sz w:val="20"/>
                <w:lang w:eastAsia="hi-IN" w:bidi="hi-IN"/>
              </w:rPr>
            </w:pPr>
            <w:r>
              <w:rPr>
                <w:rFonts w:ascii="Arial" w:hAnsi="Arial" w:eastAsia="Times New Roman" w:cs="Arial"/>
                <w:b/>
                <w:iCs/>
                <w:sz w:val="18"/>
                <w:lang w:eastAsia="hi-IN" w:bidi="hi-IN"/>
              </w:rPr>
              <w:t>Día</w:t>
            </w:r>
          </w:p>
        </w:tc>
        <w:tc>
          <w:tcPr>
            <w:tcW w:w="1310" w:type="dxa"/>
            <w:shd w:val="clear" w:color="auto" w:fill="D9D9D9"/>
            <w:vAlign w:val="center"/>
          </w:tcPr>
          <w:p>
            <w:pPr>
              <w:suppressAutoHyphens/>
              <w:spacing w:after="0" w:line="240" w:lineRule="auto"/>
              <w:jc w:val="center"/>
              <w:rPr>
                <w:rFonts w:ascii="Arial" w:hAnsi="Arial" w:eastAsia="Times New Roman" w:cs="Arial"/>
                <w:b/>
                <w:iCs/>
                <w:sz w:val="20"/>
                <w:lang w:eastAsia="hi-IN" w:bidi="hi-IN"/>
              </w:rPr>
            </w:pPr>
            <w:r>
              <w:rPr>
                <w:rFonts w:ascii="Arial" w:hAnsi="Arial" w:eastAsia="Times New Roman" w:cs="Arial"/>
                <w:b/>
                <w:iCs/>
                <w:sz w:val="18"/>
                <w:lang w:eastAsia="hi-IN" w:bidi="hi-IN"/>
              </w:rPr>
              <w:t>Hora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de publicación en la página WEB del GAD Municipal del cantón Cuenca www.cuenca.gob.ec</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bidi="hi-IN"/>
              </w:rPr>
            </w:pPr>
            <w:r>
              <w:rPr>
                <w:rFonts w:ascii="Arial" w:hAnsi="Arial" w:eastAsia="Times New Roman" w:cs="Arial"/>
                <w:b/>
                <w:sz w:val="18"/>
                <w:highlight w:val="yellow"/>
                <w:lang w:bidi="hi-IN"/>
              </w:rPr>
              <w:t>01 de octubre de 2018</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preguntas a través del correo convocatoriacaf@cuenca.gob.ec</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bidi="hi-IN"/>
              </w:rPr>
            </w:pPr>
            <w:r>
              <w:rPr>
                <w:rFonts w:ascii="Arial" w:hAnsi="Arial" w:eastAsia="Times New Roman" w:cs="Arial"/>
                <w:b/>
                <w:sz w:val="18"/>
                <w:highlight w:val="yellow"/>
                <w:lang w:bidi="hi-IN"/>
              </w:rPr>
              <w:t>04 de octubre de 2018</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Hasta las 18h00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respuestas y aclaraciones</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bidi="hi-IN"/>
              </w:rPr>
            </w:pPr>
            <w:r>
              <w:rPr>
                <w:rFonts w:ascii="Arial" w:hAnsi="Arial" w:eastAsia="Times New Roman" w:cs="Arial"/>
                <w:b/>
                <w:sz w:val="18"/>
                <w:highlight w:val="yellow"/>
                <w:lang w:bidi="hi-IN"/>
              </w:rPr>
              <w:t>9 de octubre de 2018</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18h00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entrega de propuestas</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bidi="hi-IN"/>
              </w:rPr>
            </w:pPr>
            <w:r>
              <w:rPr>
                <w:rFonts w:ascii="Arial" w:hAnsi="Arial" w:eastAsia="Times New Roman" w:cs="Arial"/>
                <w:b/>
                <w:sz w:val="18"/>
                <w:highlight w:val="yellow"/>
                <w:lang w:bidi="hi-IN"/>
              </w:rPr>
              <w:t>16 de octubre de 2018</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15h00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apertura de ofertas</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bidi="hi-IN"/>
              </w:rPr>
            </w:pPr>
            <w:r>
              <w:rPr>
                <w:rFonts w:ascii="Arial" w:hAnsi="Arial" w:eastAsia="Times New Roman" w:cs="Arial"/>
                <w:b/>
                <w:sz w:val="18"/>
                <w:highlight w:val="yellow"/>
                <w:lang w:bidi="hi-IN"/>
              </w:rPr>
              <w:t>16 de octubre de 2018</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16h00</w:t>
            </w:r>
          </w:p>
        </w:tc>
      </w:tr>
    </w:tbl>
    <w:p>
      <w:pPr>
        <w:tabs>
          <w:tab w:val="left" w:pos="180"/>
        </w:tabs>
        <w:suppressAutoHyphens/>
        <w:spacing w:after="0" w:line="240" w:lineRule="auto"/>
        <w:jc w:val="both"/>
        <w:rPr>
          <w:rFonts w:ascii="Arial" w:hAnsi="Arial" w:eastAsia="Times New Roman" w:cs="Arial"/>
          <w:sz w:val="18"/>
          <w:lang w:eastAsia="hi-IN" w:bidi="hi-IN"/>
        </w:rPr>
      </w:pPr>
      <w:r>
        <w:rPr>
          <w:rFonts w:ascii="Arial" w:hAnsi="Arial" w:eastAsia="Times New Roman" w:cs="Arial"/>
          <w:i/>
          <w:iCs/>
          <w:vanish/>
          <w:sz w:val="18"/>
          <w:lang w:eastAsia="hi-IN" w:bidi="hi-IN"/>
        </w:rPr>
        <w:cr/>
      </w:r>
      <w:r>
        <w:rPr>
          <w:rFonts w:ascii="Arial" w:hAnsi="Arial" w:eastAsia="Times New Roman" w:cs="Arial"/>
          <w:i/>
          <w:iCs/>
          <w:vanish/>
          <w:sz w:val="18"/>
          <w:lang w:eastAsia="hi-IN" w:bidi="hi-IN"/>
        </w:rPr>
        <w:t>oraeptotimada de adjudicacifertas tecncia y economica</w:t>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p>
    <w:p>
      <w:pPr>
        <w:suppressAutoHyphens/>
        <w:spacing w:after="0" w:line="240" w:lineRule="auto"/>
        <w:jc w:val="both"/>
        <w:rPr>
          <w:rFonts w:ascii="Arial" w:hAnsi="Arial" w:eastAsia="Times New Roman" w:cs="Arial"/>
          <w:sz w:val="18"/>
          <w:highlight w:val="green"/>
          <w:lang w:eastAsia="hi-IN" w:bidi="hi-IN"/>
        </w:rPr>
      </w:pPr>
    </w:p>
    <w:p>
      <w:pPr>
        <w:suppressAutoHyphens/>
        <w:spacing w:after="0" w:line="240" w:lineRule="auto"/>
        <w:jc w:val="both"/>
        <w:rPr>
          <w:rFonts w:ascii="Arial" w:hAnsi="Arial" w:eastAsia="Times New Roman" w:cs="Arial"/>
          <w:sz w:val="18"/>
          <w:lang w:eastAsia="hi-IN" w:bidi="hi-IN"/>
        </w:rPr>
      </w:pPr>
      <w:r>
        <w:rPr>
          <w:rFonts w:ascii="Arial" w:hAnsi="Arial" w:eastAsia="Times New Roman" w:cs="Arial"/>
          <w:sz w:val="18"/>
          <w:lang w:eastAsia="hi-IN" w:bidi="hi-IN"/>
        </w:rPr>
        <w:t>En el caso de ser necesario, la CAEA podrá solicitar convalidación de acuerdo al siguiente cronograma.</w:t>
      </w:r>
    </w:p>
    <w:p>
      <w:pPr>
        <w:suppressAutoHyphens/>
        <w:spacing w:after="0" w:line="240" w:lineRule="auto"/>
        <w:jc w:val="both"/>
        <w:rPr>
          <w:rFonts w:ascii="Arial" w:hAnsi="Arial" w:eastAsia="Times New Roman" w:cs="Arial"/>
          <w:sz w:val="18"/>
          <w:lang w:val="es-ES" w:eastAsia="hi-IN" w:bidi="hi-IN"/>
        </w:rPr>
      </w:pPr>
    </w:p>
    <w:tbl>
      <w:tblPr>
        <w:tblStyle w:val="46"/>
        <w:tblW w:w="9201" w:type="dxa"/>
        <w:jc w:val="center"/>
        <w:tblInd w:w="0" w:type="dxa"/>
        <w:tblLayout w:type="fixed"/>
        <w:tblCellMar>
          <w:top w:w="0" w:type="dxa"/>
          <w:left w:w="0" w:type="dxa"/>
          <w:bottom w:w="0" w:type="dxa"/>
          <w:right w:w="0" w:type="dxa"/>
        </w:tblCellMar>
      </w:tblPr>
      <w:tblGrid>
        <w:gridCol w:w="5026"/>
        <w:gridCol w:w="2835"/>
        <w:gridCol w:w="1340"/>
      </w:tblGrid>
      <w:tr>
        <w:tblPrEx>
          <w:tblLayout w:type="fixed"/>
          <w:tblCellMar>
            <w:top w:w="0" w:type="dxa"/>
            <w:left w:w="0" w:type="dxa"/>
            <w:bottom w:w="0" w:type="dxa"/>
            <w:right w:w="0" w:type="dxa"/>
          </w:tblCellMar>
        </w:tblPrEx>
        <w:trPr>
          <w:trHeight w:val="376" w:hRule="atLeast"/>
          <w:jc w:val="center"/>
        </w:trPr>
        <w:tc>
          <w:tcPr>
            <w:tcW w:w="50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bCs/>
                <w:spacing w:val="-3"/>
                <w:sz w:val="20"/>
                <w:lang w:eastAsia="hi-IN" w:bidi="hi-IN"/>
              </w:rPr>
            </w:pPr>
          </w:p>
        </w:tc>
        <w:tc>
          <w:tcPr>
            <w:tcW w:w="283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bCs/>
                <w:spacing w:val="-3"/>
                <w:sz w:val="20"/>
                <w:lang w:eastAsia="hi-IN" w:bidi="hi-IN"/>
              </w:rPr>
            </w:pPr>
          </w:p>
        </w:tc>
        <w:tc>
          <w:tcPr>
            <w:tcW w:w="13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bCs/>
                <w:spacing w:val="-3"/>
                <w:sz w:val="20"/>
                <w:lang w:eastAsia="hi-IN" w:bidi="hi-IN"/>
              </w:rPr>
            </w:pPr>
          </w:p>
        </w:tc>
      </w:tr>
      <w:tr>
        <w:tblPrEx>
          <w:tblLayout w:type="fixed"/>
          <w:tblCellMar>
            <w:top w:w="0" w:type="dxa"/>
            <w:left w:w="0" w:type="dxa"/>
            <w:bottom w:w="0" w:type="dxa"/>
            <w:right w:w="0" w:type="dxa"/>
          </w:tblCellMar>
        </w:tblPrEx>
        <w:trPr>
          <w:jc w:val="center"/>
        </w:trPr>
        <w:tc>
          <w:tcPr>
            <w:tcW w:w="5026" w:type="dxa"/>
            <w:tcBorders>
              <w:top w:val="single" w:color="000000" w:sz="4" w:space="0"/>
              <w:left w:val="single" w:color="000000" w:sz="4" w:space="0"/>
              <w:bottom w:val="single" w:color="000000" w:sz="4" w:space="0"/>
            </w:tcBorders>
            <w:shd w:val="clear" w:color="auto" w:fill="auto"/>
            <w:vAlign w:val="center"/>
          </w:tcPr>
          <w:p>
            <w:pPr>
              <w:tabs>
                <w:tab w:val="left" w:pos="285"/>
                <w:tab w:val="center" w:pos="4334"/>
              </w:tabs>
              <w:suppressAutoHyphens/>
              <w:snapToGrid w:val="0"/>
              <w:spacing w:before="60" w:after="60" w:line="240" w:lineRule="auto"/>
              <w:rPr>
                <w:rFonts w:ascii="Arial" w:hAnsi="Arial" w:eastAsia="Times New Roman" w:cs="Arial"/>
                <w:sz w:val="20"/>
                <w:lang w:eastAsia="hi-IN" w:bidi="hi-IN"/>
              </w:rPr>
            </w:pPr>
            <w:r>
              <w:rPr>
                <w:rFonts w:ascii="Arial" w:hAnsi="Arial" w:eastAsia="Times New Roman" w:cs="Arial"/>
                <w:sz w:val="20"/>
                <w:lang w:eastAsia="hi-IN" w:bidi="hi-IN"/>
              </w:rPr>
              <w:t>Fecha máxima para Solicitud de convalidación</w:t>
            </w:r>
          </w:p>
        </w:tc>
        <w:tc>
          <w:tcPr>
            <w:tcW w:w="2835" w:type="dxa"/>
            <w:tcBorders>
              <w:top w:val="single" w:color="000000" w:sz="4" w:space="0"/>
              <w:left w:val="single" w:color="000000" w:sz="4" w:space="0"/>
              <w:bottom w:val="single" w:color="000000" w:sz="4" w:space="0"/>
            </w:tcBorders>
            <w:shd w:val="clear" w:color="auto" w:fill="auto"/>
          </w:tcPr>
          <w:p>
            <w:pPr>
              <w:tabs>
                <w:tab w:val="left" w:pos="448"/>
              </w:tabs>
              <w:suppressAutoHyphens/>
              <w:spacing w:before="60" w:after="60" w:line="240" w:lineRule="auto"/>
              <w:jc w:val="center"/>
              <w:rPr>
                <w:rFonts w:ascii="Arial" w:hAnsi="Arial" w:eastAsia="Times New Roman" w:cs="Arial"/>
                <w:b/>
                <w:sz w:val="18"/>
                <w:highlight w:val="yellow"/>
                <w:lang w:bidi="hi-IN"/>
              </w:rPr>
            </w:pPr>
            <w:r>
              <w:rPr>
                <w:rFonts w:ascii="Arial" w:hAnsi="Arial" w:eastAsia="Times New Roman" w:cs="Arial"/>
                <w:b/>
                <w:sz w:val="18"/>
                <w:highlight w:val="yellow"/>
                <w:lang w:bidi="hi-IN"/>
              </w:rPr>
              <w:t>22 de octubre de 2018</w:t>
            </w:r>
          </w:p>
          <w:p>
            <w:pPr>
              <w:tabs>
                <w:tab w:val="left" w:pos="448"/>
              </w:tabs>
              <w:suppressAutoHyphens/>
              <w:spacing w:before="60" w:after="60" w:line="240" w:lineRule="auto"/>
              <w:jc w:val="center"/>
              <w:rPr>
                <w:rFonts w:ascii="Arial" w:hAnsi="Arial" w:eastAsia="Times New Roman" w:cs="Arial"/>
                <w:b/>
                <w:sz w:val="18"/>
                <w:highlight w:val="yellow"/>
                <w:lang w:bidi="hi-I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17h00</w:t>
            </w:r>
          </w:p>
        </w:tc>
      </w:tr>
      <w:tr>
        <w:tblPrEx>
          <w:tblLayout w:type="fixed"/>
          <w:tblCellMar>
            <w:top w:w="0" w:type="dxa"/>
            <w:left w:w="0" w:type="dxa"/>
            <w:bottom w:w="0" w:type="dxa"/>
            <w:right w:w="0" w:type="dxa"/>
          </w:tblCellMar>
        </w:tblPrEx>
        <w:trPr>
          <w:trHeight w:val="70" w:hRule="atLeast"/>
          <w:jc w:val="center"/>
        </w:trPr>
        <w:tc>
          <w:tcPr>
            <w:tcW w:w="5026" w:type="dxa"/>
            <w:tcBorders>
              <w:top w:val="single" w:color="000000" w:sz="4" w:space="0"/>
              <w:left w:val="single" w:color="000000" w:sz="4" w:space="0"/>
              <w:bottom w:val="single" w:color="000000" w:sz="4" w:space="0"/>
            </w:tcBorders>
            <w:shd w:val="clear" w:color="auto" w:fill="auto"/>
            <w:vAlign w:val="center"/>
          </w:tcPr>
          <w:p>
            <w:pPr>
              <w:tabs>
                <w:tab w:val="left" w:pos="285"/>
                <w:tab w:val="center" w:pos="4334"/>
              </w:tabs>
              <w:suppressAutoHyphens/>
              <w:snapToGrid w:val="0"/>
              <w:spacing w:before="60" w:after="60" w:line="240" w:lineRule="auto"/>
              <w:rPr>
                <w:rFonts w:ascii="Arial" w:hAnsi="Arial" w:eastAsia="Times New Roman" w:cs="Arial"/>
                <w:sz w:val="20"/>
                <w:lang w:eastAsia="hi-IN" w:bidi="hi-IN"/>
              </w:rPr>
            </w:pPr>
            <w:r>
              <w:rPr>
                <w:rFonts w:ascii="Arial" w:hAnsi="Arial" w:eastAsia="Times New Roman" w:cs="Arial"/>
                <w:sz w:val="20"/>
                <w:lang w:eastAsia="hi-IN" w:bidi="hi-IN"/>
              </w:rPr>
              <w:t>Fecha estimada de entrega de convalidación (los oferentes deberán presentar la convalidación requerida en un término máximo de 4 días contados a partir del pedido de convalidación)</w:t>
            </w:r>
          </w:p>
        </w:tc>
        <w:tc>
          <w:tcPr>
            <w:tcW w:w="2835"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rPr>
                <w:rFonts w:ascii="Times New Roman" w:hAnsi="Times New Roman" w:eastAsia="Times New Roman" w:cs="Times New Roman"/>
                <w:b/>
                <w:sz w:val="20"/>
                <w:szCs w:val="20"/>
                <w:highlight w:val="yellow"/>
                <w:lang w:eastAsia="hi-IN" w:bidi="hi-IN"/>
              </w:rPr>
            </w:pPr>
            <w:r>
              <w:rPr>
                <w:rFonts w:ascii="Arial" w:hAnsi="Arial" w:eastAsia="Times New Roman" w:cs="Arial"/>
                <w:b/>
                <w:sz w:val="18"/>
                <w:highlight w:val="yellow"/>
                <w:lang w:bidi="hi-IN"/>
              </w:rPr>
              <w:t>25 de octubre de 2018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17h00</w:t>
            </w:r>
          </w:p>
        </w:tc>
      </w:tr>
      <w:tr>
        <w:tblPrEx>
          <w:tblLayout w:type="fixed"/>
          <w:tblCellMar>
            <w:top w:w="0" w:type="dxa"/>
            <w:left w:w="0" w:type="dxa"/>
            <w:bottom w:w="0" w:type="dxa"/>
            <w:right w:w="0" w:type="dxa"/>
          </w:tblCellMar>
        </w:tblPrEx>
        <w:trPr>
          <w:jc w:val="center"/>
        </w:trPr>
        <w:tc>
          <w:tcPr>
            <w:tcW w:w="5026" w:type="dxa"/>
            <w:tcBorders>
              <w:top w:val="single" w:color="000000" w:sz="4" w:space="0"/>
              <w:left w:val="single" w:color="000000" w:sz="4" w:space="0"/>
              <w:bottom w:val="single" w:color="000000" w:sz="4" w:space="0"/>
            </w:tcBorders>
            <w:shd w:val="clear" w:color="auto" w:fill="auto"/>
          </w:tcPr>
          <w:p>
            <w:pPr>
              <w:tabs>
                <w:tab w:val="left" w:pos="285"/>
                <w:tab w:val="center" w:pos="4334"/>
              </w:tabs>
              <w:suppressAutoHyphens/>
              <w:snapToGrid w:val="0"/>
              <w:spacing w:before="60" w:after="60" w:line="240" w:lineRule="auto"/>
              <w:rPr>
                <w:rFonts w:ascii="Arial" w:hAnsi="Arial" w:eastAsia="Times New Roman" w:cs="Arial"/>
                <w:sz w:val="20"/>
                <w:lang w:eastAsia="hi-IN" w:bidi="hi-IN"/>
              </w:rPr>
            </w:pPr>
            <w:r>
              <w:rPr>
                <w:rFonts w:ascii="Arial" w:hAnsi="Arial" w:eastAsia="Times New Roman" w:cs="Arial"/>
                <w:iCs/>
                <w:sz w:val="18"/>
                <w:lang w:eastAsia="hi-IN" w:bidi="hi-IN"/>
              </w:rPr>
              <w:t>Fe</w:t>
            </w:r>
            <w:r>
              <w:rPr>
                <w:rFonts w:ascii="Arial" w:hAnsi="Arial" w:eastAsia="Times New Roman" w:cs="Arial"/>
                <w:sz w:val="20"/>
                <w:lang w:eastAsia="hi-IN" w:bidi="hi-IN"/>
              </w:rPr>
              <w:t>cha estimada de adjudicación</w:t>
            </w:r>
          </w:p>
        </w:tc>
        <w:tc>
          <w:tcPr>
            <w:tcW w:w="2835"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rPr>
                <w:rFonts w:ascii="Times New Roman" w:hAnsi="Times New Roman" w:eastAsia="Times New Roman" w:cs="Times New Roman"/>
                <w:sz w:val="20"/>
                <w:szCs w:val="20"/>
                <w:highlight w:val="yellow"/>
                <w:lang w:eastAsia="hi-IN" w:bidi="hi-IN"/>
              </w:rPr>
            </w:pPr>
            <w:r>
              <w:rPr>
                <w:rFonts w:ascii="Arial" w:hAnsi="Arial" w:eastAsia="Times New Roman" w:cs="Arial"/>
                <w:b/>
                <w:sz w:val="18"/>
                <w:highlight w:val="yellow"/>
                <w:lang w:bidi="hi-IN"/>
              </w:rPr>
              <w:t>29 de octubre de 2018</w:t>
            </w:r>
          </w:p>
        </w:tc>
        <w:tc>
          <w:tcPr>
            <w:tcW w:w="1340"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17h00</w:t>
            </w:r>
          </w:p>
        </w:tc>
      </w:tr>
    </w:tbl>
    <w:p>
      <w:pPr>
        <w:tabs>
          <w:tab w:val="left" w:pos="180"/>
        </w:tabs>
        <w:suppressAutoHyphens/>
        <w:spacing w:after="0" w:line="240" w:lineRule="auto"/>
        <w:jc w:val="both"/>
        <w:rPr>
          <w:rFonts w:ascii="Arial" w:hAnsi="Arial" w:eastAsia="Times New Roman" w:cs="Arial"/>
          <w:sz w:val="18"/>
          <w:lang w:eastAsia="hi-IN" w:bidi="hi-IN"/>
        </w:rPr>
      </w:pPr>
    </w:p>
    <w:p>
      <w:pPr>
        <w:tabs>
          <w:tab w:val="left" w:pos="180"/>
        </w:tabs>
        <w:suppressAutoHyphens/>
        <w:spacing w:after="0" w:line="240" w:lineRule="auto"/>
        <w:jc w:val="both"/>
        <w:rPr>
          <w:rFonts w:ascii="Arial" w:hAnsi="Arial" w:eastAsia="Times New Roman" w:cs="Arial"/>
          <w:sz w:val="18"/>
          <w:lang w:eastAsia="hi-IN" w:bidi="hi-IN"/>
        </w:rPr>
      </w:pPr>
      <w:r>
        <w:rPr>
          <w:rFonts w:ascii="Arial" w:hAnsi="Arial" w:eastAsia="Times New Roman" w:cs="Arial"/>
          <w:sz w:val="18"/>
          <w:lang w:eastAsia="hi-IN" w:bidi="hi-IN"/>
        </w:rPr>
        <w:t xml:space="preserve">NOTA.- </w:t>
      </w:r>
      <w:r>
        <w:rPr>
          <w:rFonts w:ascii="Arial" w:hAnsi="Arial" w:eastAsia="Times New Roman" w:cs="Arial"/>
          <w:iCs/>
          <w:sz w:val="20"/>
          <w:lang w:eastAsia="hi-IN" w:bidi="hi-IN"/>
        </w:rPr>
        <w:t>Las fechas de Requerimiento de Convalidación, Entrega de convalidaciones, y Adjudicación son Estimadas</w:t>
      </w:r>
      <w:r>
        <w:rPr>
          <w:rFonts w:ascii="Arial" w:hAnsi="Arial" w:eastAsia="Times New Roman" w:cs="Arial"/>
          <w:sz w:val="18"/>
          <w:lang w:eastAsia="hi-IN" w:bidi="hi-IN"/>
        </w:rPr>
        <w:t>.</w:t>
      </w:r>
    </w:p>
    <w:p>
      <w:pPr>
        <w:tabs>
          <w:tab w:val="left" w:pos="180"/>
        </w:tabs>
        <w:suppressAutoHyphens/>
        <w:spacing w:after="0" w:line="240" w:lineRule="auto"/>
        <w:jc w:val="both"/>
        <w:rPr>
          <w:rFonts w:ascii="Arial" w:hAnsi="Arial" w:eastAsia="Times New Roman" w:cs="Arial"/>
          <w:sz w:val="18"/>
          <w:lang w:eastAsia="hi-IN" w:bidi="hi-IN"/>
        </w:rPr>
      </w:pPr>
    </w:p>
    <w:p>
      <w:pPr>
        <w:tabs>
          <w:tab w:val="left" w:pos="180"/>
        </w:tabs>
        <w:suppressAutoHyphens/>
        <w:spacing w:after="0" w:line="240" w:lineRule="auto"/>
        <w:jc w:val="both"/>
        <w:rPr>
          <w:rFonts w:ascii="Arial" w:hAnsi="Arial" w:eastAsia="Times New Roman" w:cs="Arial"/>
          <w:sz w:val="20"/>
          <w:lang w:eastAsia="hi-IN" w:bidi="hi-IN"/>
        </w:rPr>
      </w:pPr>
    </w:p>
    <w:p>
      <w:pPr>
        <w:tabs>
          <w:tab w:val="left" w:pos="180"/>
        </w:tabs>
        <w:suppressAutoHyphens/>
        <w:spacing w:after="0" w:line="240" w:lineRule="auto"/>
        <w:jc w:val="both"/>
        <w:rPr>
          <w:rFonts w:ascii="Arial" w:hAnsi="Arial" w:eastAsia="Times New Roman" w:cs="Arial"/>
          <w:spacing w:val="-2"/>
          <w:sz w:val="20"/>
          <w:lang w:val="es-ES" w:eastAsia="hi-IN" w:bidi="hi-IN"/>
        </w:rPr>
      </w:pPr>
      <w:r>
        <w:rPr>
          <w:rFonts w:ascii="Arial" w:hAnsi="Arial" w:eastAsia="Times New Roman" w:cs="Arial"/>
          <w:b/>
          <w:spacing w:val="-2"/>
          <w:sz w:val="20"/>
          <w:lang w:val="es-ES" w:eastAsia="hi-IN" w:bidi="hi-IN"/>
        </w:rPr>
        <w:t>3.2.</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Vigencia de la oferta:</w:t>
      </w:r>
      <w:r>
        <w:rPr>
          <w:rFonts w:ascii="Arial" w:hAnsi="Arial" w:eastAsia="Times New Roman" w:cs="Arial"/>
          <w:spacing w:val="-2"/>
          <w:sz w:val="20"/>
          <w:lang w:val="es-ES" w:eastAsia="hi-IN" w:bidi="hi-IN"/>
        </w:rPr>
        <w:t xml:space="preserve"> Las ofertas se entenderán vigentes hasta la suscripción del contrato, de acuerdo a lo establecido en el artículo 30 de la LOSNCP.</w:t>
      </w:r>
    </w:p>
    <w:p>
      <w:pPr>
        <w:tabs>
          <w:tab w:val="left" w:pos="180"/>
        </w:tabs>
        <w:suppressAutoHyphens/>
        <w:spacing w:after="0" w:line="240" w:lineRule="auto"/>
        <w:jc w:val="both"/>
        <w:rPr>
          <w:rFonts w:ascii="Arial" w:hAnsi="Arial" w:eastAsia="Times New Roman" w:cs="Arial"/>
          <w:spacing w:val="-2"/>
          <w:sz w:val="20"/>
          <w:lang w:val="es-ES" w:eastAsia="hi-IN" w:bidi="hi-IN"/>
        </w:rPr>
      </w:pPr>
    </w:p>
    <w:p>
      <w:pPr>
        <w:tabs>
          <w:tab w:val="left" w:pos="0"/>
        </w:tabs>
        <w:suppressAutoHyphens/>
        <w:spacing w:after="0" w:line="240" w:lineRule="auto"/>
        <w:ind w:left="15" w:right="45"/>
        <w:jc w:val="both"/>
        <w:rPr>
          <w:rFonts w:ascii="Arial" w:hAnsi="Arial" w:eastAsia="Times New Roman" w:cs="Arial"/>
          <w:sz w:val="20"/>
          <w:lang w:eastAsia="hi-IN" w:bidi="hi-IN"/>
        </w:rPr>
      </w:pPr>
      <w:r>
        <w:rPr>
          <w:rFonts w:ascii="Arial" w:hAnsi="Arial" w:eastAsia="Times New Roman" w:cs="Arial"/>
          <w:b/>
          <w:spacing w:val="-2"/>
          <w:sz w:val="20"/>
          <w:lang w:val="es-ES" w:eastAsia="hi-IN" w:bidi="hi-IN"/>
        </w:rPr>
        <w:t>3.3.</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 xml:space="preserve">Precio de la oferta: </w:t>
      </w:r>
      <w:r>
        <w:rPr>
          <w:rFonts w:ascii="Arial" w:hAnsi="Arial" w:eastAsia="Times New Roman" w:cs="Arial"/>
          <w:spacing w:val="-2"/>
          <w:sz w:val="20"/>
          <w:lang w:val="es-ES" w:eastAsia="hi-IN" w:bidi="hi-IN"/>
        </w:rPr>
        <w:t xml:space="preserve">Se entenderá por precio de la oferta al valor total que el oferente haga constar en el </w:t>
      </w:r>
      <w:r>
        <w:rPr>
          <w:rFonts w:ascii="Arial" w:hAnsi="Arial" w:eastAsia="Times New Roman" w:cs="Arial"/>
          <w:sz w:val="20"/>
          <w:lang w:eastAsia="hi-IN" w:bidi="hi-IN"/>
        </w:rPr>
        <w:t>Formulario de Oferta: Tabla de Descripción de Rubros, Unidades, Cantidades y Precios.</w:t>
      </w:r>
    </w:p>
    <w:p>
      <w:pPr>
        <w:tabs>
          <w:tab w:val="left" w:pos="0"/>
        </w:tabs>
        <w:suppressAutoHyphens/>
        <w:spacing w:after="0" w:line="240" w:lineRule="auto"/>
        <w:ind w:left="15" w:right="45"/>
        <w:jc w:val="both"/>
        <w:rPr>
          <w:rFonts w:ascii="Arial" w:hAnsi="Arial" w:eastAsia="Times New Roman" w:cs="Arial"/>
          <w:sz w:val="20"/>
          <w:lang w:eastAsia="hi-IN" w:bidi="hi-IN"/>
        </w:rPr>
      </w:pPr>
    </w:p>
    <w:p>
      <w:pPr>
        <w:suppressAutoHyphens/>
        <w:autoSpaceDN w:val="0"/>
        <w:spacing w:after="0" w:line="240" w:lineRule="auto"/>
        <w:jc w:val="both"/>
        <w:textAlignment w:val="baseline"/>
        <w:rPr>
          <w:rFonts w:ascii="Arial" w:hAnsi="Arial" w:eastAsia="Times New Roman" w:cs="Arial"/>
          <w:spacing w:val="-2"/>
          <w:sz w:val="20"/>
          <w:lang w:bidi="hi-IN"/>
        </w:rPr>
      </w:pPr>
      <w:r>
        <w:rPr>
          <w:rFonts w:ascii="Arial" w:hAnsi="Arial" w:eastAsia="Times New Roman" w:cs="Arial"/>
          <w:spacing w:val="-2"/>
          <w:sz w:val="20"/>
          <w:lang w:bidi="hi-IN"/>
        </w:rPr>
        <w:t>Los precios presentados por el oferente son de su exclusiva responsabilidad. Cualquier omisión se interpretará como voluntaria y tendiente a conseguir precios que le permitan presentar una oferta más ventajosa.</w:t>
      </w:r>
    </w:p>
    <w:p>
      <w:pPr>
        <w:tabs>
          <w:tab w:val="left" w:pos="0"/>
        </w:tabs>
        <w:suppressAutoHyphens/>
        <w:spacing w:after="0" w:line="240" w:lineRule="auto"/>
        <w:ind w:left="15" w:right="45"/>
        <w:jc w:val="both"/>
        <w:rPr>
          <w:rFonts w:ascii="Arial" w:hAnsi="Arial" w:eastAsia="Times New Roman" w:cs="Arial"/>
          <w:spacing w:val="-2"/>
          <w:sz w:val="18"/>
          <w:lang w:eastAsia="hi-IN" w:bidi="hi-IN"/>
        </w:rPr>
      </w:pPr>
    </w:p>
    <w:p>
      <w:pPr>
        <w:tabs>
          <w:tab w:val="left" w:pos="180"/>
        </w:tabs>
        <w:suppressAutoHyphens/>
        <w:spacing w:after="0" w:line="240" w:lineRule="auto"/>
        <w:ind w:left="15" w:right="45"/>
        <w:jc w:val="both"/>
        <w:rPr>
          <w:rFonts w:ascii="Arial" w:hAnsi="Arial" w:eastAsia="Times New Roman" w:cs="Arial"/>
          <w:sz w:val="20"/>
          <w:szCs w:val="20"/>
          <w:lang w:val="es-ES" w:bidi="hi-IN"/>
        </w:rPr>
      </w:pPr>
      <w:r>
        <w:rPr>
          <w:rFonts w:ascii="Arial" w:hAnsi="Arial" w:eastAsia="Times New Roman" w:cs="Arial"/>
          <w:b/>
          <w:spacing w:val="-2"/>
          <w:sz w:val="20"/>
          <w:lang w:val="es-ES" w:eastAsia="hi-IN" w:bidi="hi-IN"/>
        </w:rPr>
        <w:t>3.3.1.</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Forma de presentar la oferta:</w:t>
      </w:r>
      <w:r>
        <w:rPr>
          <w:rFonts w:ascii="Arial" w:hAnsi="Arial" w:eastAsia="Times New Roman" w:cs="Arial"/>
          <w:b/>
          <w:spacing w:val="-2"/>
          <w:sz w:val="18"/>
          <w:lang w:val="es-ES" w:eastAsia="hi-IN" w:bidi="hi-IN"/>
        </w:rPr>
        <w:t xml:space="preserve"> </w:t>
      </w:r>
      <w:r>
        <w:rPr>
          <w:rFonts w:ascii="Arial" w:hAnsi="Arial" w:eastAsia="Times New Roman" w:cs="Arial"/>
          <w:sz w:val="20"/>
          <w:szCs w:val="20"/>
          <w:lang w:val="es-ES" w:bidi="hi-IN"/>
        </w:rPr>
        <w:t>La oferta se presentará OBLIGATORIAMENTE en forma física ORIGINAL Y COPIA y con el correspondiente archivo digital, dentro de un sobre cerrado que contenga la siguiente ilustración:</w:t>
      </w: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Cs/>
          <w:i/>
          <w:sz w:val="18"/>
          <w:szCs w:val="20"/>
          <w:lang w:eastAsia="hi-IN" w:bidi="hi-IN"/>
        </w:rPr>
      </w:pP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
          <w:bCs/>
          <w:sz w:val="20"/>
          <w:szCs w:val="20"/>
          <w:lang w:eastAsia="hi-IN" w:bidi="hi-IN"/>
        </w:rPr>
      </w:pPr>
      <w:r>
        <w:rPr>
          <w:rFonts w:ascii="Arial" w:hAnsi="Arial" w:eastAsia="Times New Roman" w:cs="Arial"/>
          <w:b/>
          <w:bCs/>
          <w:sz w:val="20"/>
          <w:szCs w:val="20"/>
          <w:lang w:eastAsia="hi-IN" w:bidi="hi-IN"/>
        </w:rPr>
        <w:t>Objeto de Contratación:</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
          <w:bCs/>
          <w:i/>
          <w:caps/>
          <w:sz w:val="20"/>
          <w:szCs w:val="20"/>
          <w:lang w:eastAsia="hi-IN" w:bidi="hi-IN"/>
        </w:rPr>
      </w:pPr>
      <w:r>
        <w:rPr>
          <w:rFonts w:ascii="Arial" w:hAnsi="Arial" w:eastAsia="Times New Roman" w:cs="Arial"/>
          <w:b/>
          <w:bCs/>
          <w:i/>
          <w:caps/>
          <w:sz w:val="20"/>
          <w:szCs w:val="20"/>
          <w:lang w:eastAsia="hi-IN" w:bidi="hi-IN"/>
        </w:rPr>
        <w:t>OBRAS HIDROSANITARIAS, CANALIZACIÓN TELEFÓNICA, CANALIZACIÓN ELÉCTRICA, MUROS, VEREDAS, BORDILLOS, PAVIMENTACIÓN FLEXIBLE, SEÑALIZACIÓN, MITIGACIÓN DE IMPACTOS AMBIENTALES, MUROS DE CONTENCION, SUBDREN Y SEGURIDAD VIAL DE LA CALLE DE LAS AREPAS ENTRE SIN NOMBRE Y SIN NOMBRE; 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Cs/>
          <w:sz w:val="20"/>
          <w:szCs w:val="20"/>
          <w:lang w:eastAsia="hi-IN" w:bidi="hi-IN"/>
        </w:rPr>
      </w:pPr>
      <w:r>
        <w:rPr>
          <w:rFonts w:ascii="Arial" w:hAnsi="Arial" w:eastAsia="Times New Roman" w:cs="Arial"/>
          <w:bCs/>
          <w:sz w:val="20"/>
          <w:szCs w:val="20"/>
          <w:lang w:eastAsia="hi-IN" w:bidi="hi-IN"/>
        </w:rPr>
        <w:t>Grupo 5</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Cs/>
          <w:sz w:val="20"/>
          <w:szCs w:val="20"/>
          <w:lang w:eastAsia="hi-IN" w:bidi="hi-IN"/>
        </w:rPr>
      </w:pPr>
      <w:r>
        <w:rPr>
          <w:rFonts w:ascii="Arial" w:hAnsi="Arial" w:eastAsia="Times New Roman" w:cs="Arial"/>
          <w:bCs/>
          <w:sz w:val="20"/>
          <w:szCs w:val="20"/>
          <w:lang w:eastAsia="hi-IN" w:bidi="hi-IN"/>
        </w:rPr>
        <w:t>Contiene: Original, Copia y Magnético</w:t>
      </w:r>
    </w:p>
    <w:p>
      <w:pPr>
        <w:pBdr>
          <w:top w:val="single" w:color="000000" w:sz="4" w:space="1"/>
          <w:left w:val="single" w:color="000000" w:sz="4" w:space="4"/>
          <w:bottom w:val="single" w:color="000000" w:sz="4" w:space="1"/>
          <w:right w:val="single" w:color="000000" w:sz="4" w:space="4"/>
        </w:pBdr>
        <w:tabs>
          <w:tab w:val="left" w:pos="0"/>
          <w:tab w:val="left" w:pos="8214"/>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Señor:</w:t>
      </w:r>
    </w:p>
    <w:p>
      <w:pPr>
        <w:pBdr>
          <w:top w:val="single" w:color="000000" w:sz="4" w:space="1"/>
          <w:left w:val="single" w:color="000000" w:sz="4" w:space="4"/>
          <w:bottom w:val="single" w:color="000000" w:sz="4" w:space="1"/>
          <w:right w:val="single" w:color="000000" w:sz="4" w:space="4"/>
        </w:pBdr>
        <w:tabs>
          <w:tab w:val="left" w:pos="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Ing. Marcelo Cabrera Palacios.</w:t>
      </w:r>
    </w:p>
    <w:p>
      <w:pPr>
        <w:pBdr>
          <w:top w:val="single" w:color="000000" w:sz="4" w:space="1"/>
          <w:left w:val="single" w:color="000000" w:sz="4" w:space="4"/>
          <w:bottom w:val="single" w:color="000000" w:sz="4" w:space="1"/>
          <w:right w:val="single" w:color="000000" w:sz="4" w:space="4"/>
        </w:pBdr>
        <w:tabs>
          <w:tab w:val="left" w:pos="0"/>
          <w:tab w:val="left" w:pos="8214"/>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ALCALDE DE CUENCA</w:t>
      </w:r>
    </w:p>
    <w:p>
      <w:pPr>
        <w:pBdr>
          <w:top w:val="single" w:color="000000" w:sz="4" w:space="1"/>
          <w:left w:val="single" w:color="000000" w:sz="4" w:space="4"/>
          <w:bottom w:val="single" w:color="000000" w:sz="4" w:space="1"/>
          <w:right w:val="single" w:color="000000" w:sz="4" w:space="4"/>
        </w:pBdr>
        <w:tabs>
          <w:tab w:val="left" w:pos="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Presente.-</w:t>
      </w:r>
    </w:p>
    <w:p>
      <w:pPr>
        <w:pBdr>
          <w:top w:val="single" w:color="000000" w:sz="4" w:space="1"/>
          <w:left w:val="single" w:color="000000" w:sz="4" w:space="4"/>
          <w:bottom w:val="single" w:color="000000" w:sz="4" w:space="1"/>
          <w:right w:val="single" w:color="000000" w:sz="4" w:space="4"/>
        </w:pBdr>
        <w:tabs>
          <w:tab w:val="left" w:pos="0"/>
        </w:tabs>
        <w:suppressAutoHyphens/>
        <w:spacing w:before="120" w:after="12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 xml:space="preserve">PRESENTADA POR: ____________________________________ </w:t>
      </w:r>
    </w:p>
    <w:p>
      <w:pPr>
        <w:pBdr>
          <w:top w:val="single" w:color="000000" w:sz="4" w:space="1"/>
          <w:left w:val="single" w:color="000000" w:sz="4" w:space="4"/>
          <w:bottom w:val="single" w:color="000000" w:sz="4" w:space="1"/>
          <w:right w:val="single" w:color="000000" w:sz="4" w:space="4"/>
        </w:pBdr>
        <w:tabs>
          <w:tab w:val="left" w:pos="0"/>
        </w:tabs>
        <w:suppressAutoHyphens/>
        <w:spacing w:before="120" w:after="12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RUC: ___________________</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after="0" w:line="240" w:lineRule="auto"/>
        <w:ind w:right="-119"/>
        <w:rPr>
          <w:rFonts w:ascii="Arial" w:hAnsi="Arial" w:eastAsia="Times New Roman" w:cs="Arial"/>
          <w:b/>
          <w:spacing w:val="-2"/>
          <w:szCs w:val="20"/>
          <w:lang w:eastAsia="hi-IN" w:bidi="hi-IN"/>
        </w:rPr>
      </w:pPr>
    </w:p>
    <w:p>
      <w:pPr>
        <w:tabs>
          <w:tab w:val="left" w:pos="180"/>
        </w:tabs>
        <w:suppressAutoHyphens/>
        <w:spacing w:after="0" w:line="240" w:lineRule="auto"/>
        <w:ind w:left="15" w:right="45"/>
        <w:jc w:val="both"/>
        <w:rPr>
          <w:rFonts w:ascii="Arial" w:hAnsi="Arial" w:eastAsia="Times New Roman" w:cs="Arial"/>
          <w:szCs w:val="20"/>
          <w:lang w:eastAsia="hi-IN" w:bidi="hi-IN"/>
        </w:rPr>
      </w:pPr>
    </w:p>
    <w:p>
      <w:pPr>
        <w:tabs>
          <w:tab w:val="left" w:pos="180"/>
        </w:tabs>
        <w:suppressAutoHyphens/>
        <w:spacing w:after="0" w:line="240" w:lineRule="auto"/>
        <w:ind w:left="15" w:right="45"/>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 xml:space="preserve">No se tomarán en cuenta las ofertas entregadas en otro lugar o después del día y hora fijados para su entrega-recepción. </w:t>
      </w:r>
    </w:p>
    <w:p>
      <w:pPr>
        <w:tabs>
          <w:tab w:val="left" w:pos="180"/>
        </w:tabs>
        <w:suppressAutoHyphens/>
        <w:spacing w:after="0" w:line="240" w:lineRule="auto"/>
        <w:ind w:left="15" w:right="45"/>
        <w:jc w:val="both"/>
        <w:rPr>
          <w:rFonts w:ascii="Arial" w:hAnsi="Arial" w:eastAsia="Times New Roman" w:cs="Arial"/>
          <w:spacing w:val="-2"/>
          <w:sz w:val="16"/>
          <w:lang w:eastAsia="hi-IN" w:bidi="hi-IN"/>
        </w:rPr>
      </w:pPr>
    </w:p>
    <w:p>
      <w:pPr>
        <w:tabs>
          <w:tab w:val="left" w:pos="195"/>
        </w:tabs>
        <w:suppressAutoHyphens/>
        <w:autoSpaceDN w:val="0"/>
        <w:spacing w:after="0" w:line="240" w:lineRule="auto"/>
        <w:ind w:left="15" w:right="45"/>
        <w:jc w:val="both"/>
        <w:textAlignment w:val="baseline"/>
        <w:rPr>
          <w:rFonts w:ascii="Arial" w:hAnsi="Arial" w:eastAsia="Times New Roman" w:cs="Arial"/>
          <w:spacing w:val="-2"/>
          <w:sz w:val="20"/>
          <w:szCs w:val="20"/>
          <w:lang w:val="es-ES" w:bidi="hi-IN"/>
        </w:rPr>
      </w:pPr>
      <w:r>
        <w:rPr>
          <w:rFonts w:ascii="Arial" w:hAnsi="Arial" w:eastAsia="Times New Roman" w:cs="Arial"/>
          <w:spacing w:val="-2"/>
          <w:sz w:val="20"/>
          <w:szCs w:val="20"/>
          <w:lang w:val="es-ES" w:bidi="hi-IN"/>
        </w:rPr>
        <w:t xml:space="preserve">La Secretaría recibirá y conferirá comprobantes de recepción por cada oferta entregada y anotará, tanto en los recibos como en el sobre de la oferta, la fecha y hora de recepción. </w:t>
      </w:r>
    </w:p>
    <w:p>
      <w:pPr>
        <w:tabs>
          <w:tab w:val="left" w:pos="180"/>
        </w:tabs>
        <w:suppressAutoHyphens/>
        <w:spacing w:after="0" w:line="240" w:lineRule="auto"/>
        <w:jc w:val="both"/>
        <w:rPr>
          <w:rFonts w:ascii="Arial" w:hAnsi="Arial" w:eastAsia="Times New Roman" w:cs="Arial"/>
          <w:spacing w:val="-2"/>
          <w:sz w:val="18"/>
          <w:lang w:val="es-ES" w:eastAsia="hi-IN" w:bidi="hi-IN"/>
        </w:rPr>
      </w:pPr>
    </w:p>
    <w:p>
      <w:pPr>
        <w:tabs>
          <w:tab w:val="left" w:pos="-540"/>
        </w:tabs>
        <w:suppressAutoHyphens/>
        <w:spacing w:after="0" w:line="240" w:lineRule="auto"/>
        <w:jc w:val="both"/>
        <w:rPr>
          <w:rFonts w:ascii="Arial" w:hAnsi="Arial" w:eastAsia="Times New Roman" w:cs="Arial"/>
          <w:i/>
          <w:iCs/>
          <w:spacing w:val="-2"/>
          <w:sz w:val="20"/>
          <w:lang w:val="es-ES" w:eastAsia="hi-IN" w:bidi="hi-IN"/>
        </w:rPr>
      </w:pPr>
      <w:r>
        <w:rPr>
          <w:rFonts w:ascii="Arial" w:hAnsi="Arial" w:eastAsia="Times New Roman" w:cs="Arial"/>
          <w:b/>
          <w:spacing w:val="-2"/>
          <w:sz w:val="20"/>
          <w:lang w:eastAsia="hi-IN" w:bidi="hi-IN"/>
        </w:rPr>
        <w:t>3.4.</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Plazo de ejecución:</w:t>
      </w:r>
      <w:r>
        <w:rPr>
          <w:rFonts w:ascii="Arial" w:hAnsi="Arial" w:eastAsia="Times New Roman" w:cs="Arial"/>
          <w:spacing w:val="-2"/>
          <w:sz w:val="20"/>
          <w:lang w:val="es-ES" w:eastAsia="hi-IN" w:bidi="hi-IN"/>
        </w:rPr>
        <w:t xml:space="preserve"> El plazo máximo estimado para la ejecución del contrato es de </w:t>
      </w:r>
      <w:r>
        <w:rPr>
          <w:rFonts w:ascii="Arial" w:hAnsi="Arial" w:eastAsia="Times New Roman" w:cs="Arial"/>
          <w:sz w:val="20"/>
          <w:lang w:bidi="hi-IN"/>
        </w:rPr>
        <w:t>CIENTO VEINTE (120)</w:t>
      </w:r>
      <w:r>
        <w:rPr>
          <w:rFonts w:ascii="Arial" w:hAnsi="Arial" w:eastAsia="Times New Roman" w:cs="Arial"/>
          <w:spacing w:val="-2"/>
          <w:sz w:val="20"/>
          <w:lang w:val="es-ES" w:eastAsia="hi-IN" w:bidi="hi-IN"/>
        </w:rPr>
        <w:t xml:space="preserve"> DÍAS CALENDARIO, contado a partir del día siguiente de que el anticipo se encuentra disponible en la cuenta del contratista</w:t>
      </w:r>
      <w:r>
        <w:rPr>
          <w:rFonts w:ascii="Arial" w:hAnsi="Arial" w:eastAsia="Times New Roman" w:cs="Arial"/>
          <w:i/>
          <w:iCs/>
          <w:spacing w:val="-2"/>
          <w:sz w:val="20"/>
          <w:lang w:val="es-ES" w:eastAsia="hi-IN" w:bidi="hi-IN"/>
        </w:rPr>
        <w:t>.</w:t>
      </w:r>
    </w:p>
    <w:p>
      <w:pPr>
        <w:tabs>
          <w:tab w:val="left" w:pos="-540"/>
        </w:tabs>
        <w:suppressAutoHyphens/>
        <w:spacing w:after="0" w:line="240" w:lineRule="auto"/>
        <w:jc w:val="both"/>
        <w:rPr>
          <w:rFonts w:ascii="Arial" w:hAnsi="Arial" w:eastAsia="Times New Roman" w:cs="Arial"/>
          <w:sz w:val="20"/>
          <w:lang w:val="es-ES" w:eastAsia="hi-IN" w:bidi="hi-IN"/>
        </w:rPr>
      </w:pPr>
    </w:p>
    <w:p>
      <w:pPr>
        <w:tabs>
          <w:tab w:val="left" w:pos="-540"/>
        </w:tabs>
        <w:suppressAutoHyphens/>
        <w:spacing w:after="0" w:line="240" w:lineRule="auto"/>
        <w:jc w:val="both"/>
        <w:rPr>
          <w:rFonts w:ascii="Arial" w:hAnsi="Arial" w:eastAsia="Times New Roman" w:cs="Arial"/>
          <w:spacing w:val="-2"/>
          <w:sz w:val="20"/>
          <w:lang w:val="es-ES" w:eastAsia="hi-IN" w:bidi="hi-IN"/>
        </w:rPr>
      </w:pPr>
      <w:r>
        <w:rPr>
          <w:rFonts w:ascii="Arial" w:hAnsi="Arial" w:eastAsia="Times New Roman" w:cs="Arial"/>
          <w:spacing w:val="-2"/>
          <w:sz w:val="20"/>
          <w:lang w:eastAsia="hi-IN" w:bidi="hi-IN"/>
        </w:rPr>
        <w:t xml:space="preserve">La recepción definitiva se realizará en el término de seis meses, </w:t>
      </w:r>
      <w:r>
        <w:rPr>
          <w:rFonts w:ascii="Arial" w:hAnsi="Arial" w:eastAsia="Times New Roman" w:cs="Arial"/>
          <w:sz w:val="20"/>
          <w:lang w:val="es-ES" w:eastAsia="hi-IN" w:bidi="hi-IN"/>
        </w:rPr>
        <w:t>a contarse desde la suscripción del Acta de Recepción Provisional total o de la última Recepción Provisional Parcial, si se hubiere previsto realizar varias de éstas.</w:t>
      </w:r>
    </w:p>
    <w:p>
      <w:pPr>
        <w:tabs>
          <w:tab w:val="left" w:pos="180"/>
        </w:tabs>
        <w:suppressAutoHyphens/>
        <w:spacing w:after="0" w:line="240" w:lineRule="auto"/>
        <w:jc w:val="both"/>
        <w:rPr>
          <w:rFonts w:ascii="Arial" w:hAnsi="Arial" w:eastAsia="Times New Roman" w:cs="Arial"/>
          <w:spacing w:val="-2"/>
          <w:sz w:val="20"/>
          <w:lang w:val="es-ES"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3.5.</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Alcance del precio de la oferta: </w:t>
      </w:r>
      <w:r>
        <w:rPr>
          <w:rFonts w:ascii="Arial" w:hAnsi="Arial" w:eastAsia="Times New Roman" w:cs="Arial"/>
          <w:spacing w:val="-2"/>
          <w:sz w:val="20"/>
          <w:lang w:eastAsia="hi-IN" w:bidi="hi-IN"/>
        </w:rPr>
        <w:t xml:space="preserve">El precio de la oferta deberá cubrir el valor de la depreciación, operación y mantenimiento de los equipos, (si son de propiedad del oferente) y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pPr>
        <w:tabs>
          <w:tab w:val="left" w:pos="180"/>
        </w:tabs>
        <w:suppressAutoHyphens/>
        <w:spacing w:after="0" w:line="240" w:lineRule="auto"/>
        <w:jc w:val="both"/>
        <w:rPr>
          <w:rFonts w:ascii="Arial" w:hAnsi="Arial" w:eastAsia="Times New Roman" w:cs="Arial"/>
          <w:spacing w:val="-2"/>
          <w:sz w:val="20"/>
          <w:lang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El participante deberá ofertar OBLIGATORIAMENTE todos y cada uno de los rubros señalados en las Condiciones Particulares del Pliego, en el Formulario de Oferta: Tabla de Descripción de Rubros, Unidades, Cantidades y Precios, para la obra que propone ejecutar.</w:t>
      </w:r>
    </w:p>
    <w:p>
      <w:pPr>
        <w:tabs>
          <w:tab w:val="left" w:pos="180"/>
        </w:tabs>
        <w:suppressAutoHyphens/>
        <w:spacing w:after="0" w:line="240" w:lineRule="auto"/>
        <w:jc w:val="both"/>
        <w:rPr>
          <w:rFonts w:ascii="Arial" w:hAnsi="Arial" w:eastAsia="Times New Roman" w:cs="Arial"/>
          <w:spacing w:val="-2"/>
          <w:sz w:val="20"/>
          <w:lang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De existir errores aritméticos se procederá a su corrección conforme a lo previsto en la Resolución emitida por el SERCOP para el efecto.</w:t>
      </w:r>
    </w:p>
    <w:p>
      <w:pPr>
        <w:tabs>
          <w:tab w:val="left" w:pos="180"/>
        </w:tabs>
        <w:suppressAutoHyphens/>
        <w:spacing w:after="0" w:line="240" w:lineRule="auto"/>
        <w:jc w:val="both"/>
        <w:rPr>
          <w:rFonts w:ascii="Arial" w:hAnsi="Arial" w:eastAsia="Times New Roman" w:cs="Arial"/>
          <w:b/>
          <w:spacing w:val="-2"/>
          <w:sz w:val="20"/>
          <w:lang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3.6.</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Forma de pago:</w:t>
      </w:r>
      <w:r>
        <w:rPr>
          <w:rFonts w:ascii="Arial" w:hAnsi="Arial" w:eastAsia="Times New Roman" w:cs="Arial"/>
          <w:spacing w:val="-2"/>
          <w:sz w:val="20"/>
          <w:lang w:eastAsia="hi-IN" w:bidi="hi-IN"/>
        </w:rPr>
        <w:t xml:space="preserve"> Los pagos se realizarán de la manera prevista en el numeral 6 de la Convocatoria y en el Proyecto de Contrato.</w:t>
      </w:r>
    </w:p>
    <w:p>
      <w:pPr>
        <w:tabs>
          <w:tab w:val="left" w:pos="180"/>
        </w:tabs>
        <w:suppressAutoHyphens/>
        <w:spacing w:after="0" w:line="240" w:lineRule="auto"/>
        <w:jc w:val="both"/>
        <w:rPr>
          <w:rFonts w:ascii="Arial" w:hAnsi="Arial" w:eastAsia="Times New Roman" w:cs="Arial"/>
          <w:spacing w:val="-2"/>
          <w:sz w:val="20"/>
          <w:lang w:eastAsia="hi-IN" w:bidi="hi-IN"/>
        </w:rPr>
      </w:pPr>
    </w:p>
    <w:p>
      <w:pPr>
        <w:tabs>
          <w:tab w:val="left" w:pos="709"/>
        </w:tabs>
        <w:suppressAutoHyphens/>
        <w:spacing w:after="0" w:line="240" w:lineRule="auto"/>
        <w:jc w:val="both"/>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3.6.1.</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Anticipo: </w:t>
      </w:r>
      <w:r>
        <w:rPr>
          <w:rFonts w:ascii="Arial" w:hAnsi="Arial" w:eastAsia="Times New Roman" w:cs="Arial"/>
          <w:spacing w:val="-2"/>
          <w:sz w:val="20"/>
          <w:szCs w:val="20"/>
          <w:lang w:eastAsia="hi-IN" w:bidi="hi-IN"/>
        </w:rPr>
        <w:t>Se concederá un anticipo del 30% del contrato</w:t>
      </w:r>
      <w:r>
        <w:rPr>
          <w:rFonts w:ascii="Arial" w:hAnsi="Arial" w:eastAsia="Times New Roman" w:cs="Arial"/>
          <w:spacing w:val="-2"/>
          <w:sz w:val="18"/>
          <w:lang w:eastAsia="hi-IN" w:bidi="hi-IN"/>
        </w:rPr>
        <w:t>.</w:t>
      </w:r>
    </w:p>
    <w:p>
      <w:pPr>
        <w:tabs>
          <w:tab w:val="left" w:pos="0"/>
        </w:tabs>
        <w:suppressAutoHyphens/>
        <w:spacing w:after="0" w:line="240" w:lineRule="auto"/>
        <w:jc w:val="both"/>
        <w:rPr>
          <w:rFonts w:ascii="Arial" w:hAnsi="Arial" w:eastAsia="Times New Roman" w:cs="Arial"/>
          <w:b/>
          <w:spacing w:val="-2"/>
          <w:sz w:val="20"/>
          <w:lang w:eastAsia="hi-IN" w:bidi="hi-IN"/>
        </w:rPr>
      </w:pPr>
    </w:p>
    <w:p>
      <w:pPr>
        <w:tabs>
          <w:tab w:val="left" w:pos="-1260"/>
          <w:tab w:val="left" w:pos="180"/>
        </w:tabs>
        <w:suppressAutoHyphens/>
        <w:spacing w:after="0" w:line="240" w:lineRule="auto"/>
        <w:ind w:left="15" w:right="45"/>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3.6.2.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Valor restante de la obra: </w:t>
      </w:r>
      <w:r>
        <w:rPr>
          <w:rFonts w:ascii="Arial" w:hAnsi="Arial" w:eastAsia="Times New Roman" w:cs="Arial"/>
          <w:spacing w:val="-2"/>
          <w:sz w:val="20"/>
          <w:lang w:eastAsia="hi-IN" w:bidi="hi-IN"/>
        </w:rPr>
        <w:t xml:space="preserve">Se lo hará mediante pago contra presentación de planillas mensuales, debidamente aprobadas por la fiscalización y autorizadas por el Administrador del Contrato. De cada planilla se descontará la amortización del anticipo y cualquier otro cargo al Contratista, que sea en legal aplicación del contrato. El monto del anticipo entregado por la Entidad será devengado proporcionalmente al momento del pago de cada </w:t>
      </w:r>
      <w:r>
        <w:rPr>
          <w:rFonts w:ascii="Arial" w:hAnsi="Arial" w:eastAsia="Times New Roman" w:cs="Arial"/>
          <w:spacing w:val="-2"/>
          <w:sz w:val="20"/>
          <w:szCs w:val="20"/>
          <w:lang w:eastAsia="hi-IN" w:bidi="hi-IN"/>
        </w:rPr>
        <w:t>planilla hasta la terminación del plazo contractual inicialmente estipulado y constará en el cronograma pertinente que es parte del contrato</w:t>
      </w:r>
      <w:r>
        <w:rPr>
          <w:rFonts w:ascii="Arial" w:hAnsi="Arial" w:eastAsia="Times New Roman" w:cs="Arial"/>
          <w:spacing w:val="-2"/>
          <w:sz w:val="20"/>
          <w:lang w:eastAsia="hi-IN" w:bidi="hi-IN"/>
        </w:rPr>
        <w:t>.</w:t>
      </w:r>
    </w:p>
    <w:p>
      <w:pPr>
        <w:rPr>
          <w:rFonts w:ascii="Arial" w:hAnsi="Arial" w:eastAsia="Times New Roman" w:cs="Arial"/>
          <w:spacing w:val="-2"/>
          <w:sz w:val="18"/>
          <w:lang w:eastAsia="hi-IN" w:bidi="hi-IN"/>
        </w:rPr>
      </w:pPr>
      <w:r>
        <w:rPr>
          <w:rFonts w:ascii="Arial" w:hAnsi="Arial" w:eastAsia="Times New Roman" w:cs="Arial"/>
          <w:spacing w:val="-2"/>
          <w:sz w:val="18"/>
          <w:lang w:eastAsia="hi-IN" w:bidi="hi-IN"/>
        </w:rPr>
        <w:br w:type="page"/>
      </w:r>
    </w:p>
    <w:p>
      <w:pPr>
        <w:tabs>
          <w:tab w:val="left" w:pos="-540"/>
        </w:tabs>
        <w:suppressAutoHyphens/>
        <w:spacing w:after="0" w:line="240" w:lineRule="auto"/>
        <w:jc w:val="center"/>
        <w:rPr>
          <w:rFonts w:ascii="Arial" w:hAnsi="Arial" w:eastAsia="Times New Roman" w:cs="Arial"/>
          <w:b/>
          <w:spacing w:val="-2"/>
          <w:szCs w:val="24"/>
          <w:lang w:eastAsia="hi-IN" w:bidi="hi-IN"/>
        </w:rPr>
      </w:pPr>
      <w:r>
        <w:rPr>
          <w:rFonts w:ascii="Arial" w:hAnsi="Arial" w:eastAsia="Times New Roman" w:cs="Arial"/>
          <w:b/>
          <w:spacing w:val="-2"/>
          <w:szCs w:val="24"/>
          <w:lang w:eastAsia="hi-IN" w:bidi="hi-IN"/>
        </w:rPr>
        <w:t>SECCIÓN IV</w:t>
      </w:r>
    </w:p>
    <w:p>
      <w:pPr>
        <w:tabs>
          <w:tab w:val="left" w:pos="-540"/>
        </w:tabs>
        <w:suppressAutoHyphens/>
        <w:spacing w:after="0" w:line="240" w:lineRule="auto"/>
        <w:jc w:val="center"/>
        <w:rPr>
          <w:rFonts w:ascii="Arial" w:hAnsi="Arial" w:eastAsia="Times New Roman" w:cs="Arial"/>
          <w:b/>
          <w:spacing w:val="-2"/>
          <w:szCs w:val="24"/>
          <w:lang w:eastAsia="hi-IN" w:bidi="hi-IN"/>
        </w:rPr>
      </w:pPr>
    </w:p>
    <w:p>
      <w:pPr>
        <w:tabs>
          <w:tab w:val="left" w:pos="-540"/>
        </w:tabs>
        <w:suppressAutoHyphens/>
        <w:spacing w:after="0" w:line="240" w:lineRule="auto"/>
        <w:jc w:val="center"/>
        <w:rPr>
          <w:rFonts w:ascii="Arial" w:hAnsi="Arial" w:eastAsia="Times New Roman" w:cs="Arial"/>
          <w:b/>
          <w:spacing w:val="-2"/>
          <w:szCs w:val="24"/>
          <w:lang w:eastAsia="hi-IN" w:bidi="hi-IN"/>
        </w:rPr>
      </w:pPr>
      <w:r>
        <w:rPr>
          <w:rFonts w:ascii="Arial" w:hAnsi="Arial" w:eastAsia="Times New Roman" w:cs="Arial"/>
          <w:b/>
          <w:spacing w:val="-2"/>
          <w:szCs w:val="24"/>
          <w:lang w:eastAsia="hi-IN" w:bidi="hi-IN"/>
        </w:rPr>
        <w:t>EVALUACIÓN DE LAS OFERTAS</w:t>
      </w:r>
    </w:p>
    <w:p>
      <w:pPr>
        <w:tabs>
          <w:tab w:val="left" w:pos="-540"/>
        </w:tabs>
        <w:suppressAutoHyphens/>
        <w:spacing w:after="0" w:line="240" w:lineRule="auto"/>
        <w:jc w:val="both"/>
        <w:rPr>
          <w:rFonts w:ascii="Arial" w:hAnsi="Arial" w:eastAsia="Times New Roman" w:cs="Arial"/>
          <w:spacing w:val="-2"/>
          <w:sz w:val="20"/>
          <w:lang w:eastAsia="hi-IN" w:bidi="hi-IN"/>
        </w:rPr>
      </w:pPr>
    </w:p>
    <w:p>
      <w:pPr>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  Evaluación de la oferta</w:t>
      </w:r>
    </w:p>
    <w:p>
      <w:pPr>
        <w:suppressAutoHyphens/>
        <w:spacing w:after="0" w:line="240" w:lineRule="auto"/>
        <w:jc w:val="both"/>
        <w:rPr>
          <w:rFonts w:ascii="Arial" w:hAnsi="Arial" w:eastAsia="Times New Roman" w:cs="Arial"/>
          <w:bCs/>
          <w:spacing w:val="-3"/>
          <w:sz w:val="20"/>
          <w:lang w:val="es-ES" w:eastAsia="hi-IN" w:bidi="hi-IN"/>
        </w:rPr>
      </w:pPr>
      <w:r>
        <w:rPr>
          <w:rFonts w:ascii="Arial" w:hAnsi="Arial" w:eastAsia="Times New Roman" w:cs="Arial"/>
          <w:b/>
          <w:bCs/>
          <w:spacing w:val="-3"/>
          <w:sz w:val="20"/>
          <w:lang w:val="es-ES" w:eastAsia="hi-IN" w:bidi="hi-IN"/>
        </w:rPr>
        <w:br w:type="textWrapping"/>
      </w:r>
      <w:r>
        <w:rPr>
          <w:rFonts w:ascii="Arial" w:hAnsi="Arial" w:eastAsia="Times New Roman" w:cs="Arial"/>
          <w:bCs/>
          <w:spacing w:val="-3"/>
          <w:sz w:val="20"/>
          <w:lang w:val="es-ES" w:eastAsia="hi-IN" w:bidi="hi-IN"/>
        </w:rPr>
        <w:t>Para la verificación del cumplimiento de integridad y requisitos mínimos, se estará a la metodología cumple / no cumple.</w:t>
      </w:r>
    </w:p>
    <w:p>
      <w:pPr>
        <w:suppressAutoHyphens/>
        <w:spacing w:after="0" w:line="240" w:lineRule="auto"/>
        <w:jc w:val="both"/>
        <w:rPr>
          <w:rFonts w:ascii="Arial" w:hAnsi="Arial" w:eastAsia="Times New Roman" w:cs="Arial"/>
          <w:b/>
          <w:bCs/>
          <w:spacing w:val="-3"/>
          <w:sz w:val="20"/>
          <w:lang w:val="es-ES" w:eastAsia="hi-IN" w:bidi="hi-IN"/>
        </w:rPr>
      </w:pPr>
    </w:p>
    <w:p>
      <w:pPr>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b/>
          <w:bCs/>
          <w:spacing w:val="-3"/>
          <w:sz w:val="20"/>
          <w:lang w:val="es-ES" w:eastAsia="hi-IN" w:bidi="hi-IN"/>
        </w:rPr>
        <w:t xml:space="preserve">4.1.1 Integridad de la oferta: </w:t>
      </w:r>
      <w:r>
        <w:rPr>
          <w:rFonts w:ascii="Arial" w:hAnsi="Arial" w:eastAsia="Times New Roman" w:cs="Arial"/>
          <w:spacing w:val="-3"/>
          <w:sz w:val="20"/>
          <w:lang w:val="es-ES" w:eastAsia="hi-IN" w:bidi="hi-IN"/>
        </w:rPr>
        <w:t xml:space="preserve">La integridad de la oferta se evaluará considerando la presentación de los Formularios y requisitos mínimos previstos en el pliego, de acuerdo con el siguiente detalle: </w:t>
      </w:r>
    </w:p>
    <w:p>
      <w:pPr>
        <w:suppressAutoHyphens/>
        <w:spacing w:after="0" w:line="240" w:lineRule="auto"/>
        <w:jc w:val="both"/>
        <w:rPr>
          <w:rFonts w:ascii="Times New Roman" w:hAnsi="Times New Roman" w:eastAsia="Times New Roman" w:cs="Arial"/>
          <w:spacing w:val="-3"/>
          <w:sz w:val="20"/>
          <w:lang w:val="es-ES" w:eastAsia="hi-IN" w:bidi="hi-IN"/>
        </w:rPr>
      </w:pPr>
    </w:p>
    <w:p>
      <w:pPr>
        <w:suppressAutoHyphens/>
        <w:spacing w:after="0" w:line="240" w:lineRule="auto"/>
        <w:ind w:firstLine="426"/>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I  Formulario de Oferta</w:t>
      </w:r>
    </w:p>
    <w:p>
      <w:pPr>
        <w:suppressAutoHyphens/>
        <w:spacing w:after="0" w:line="240" w:lineRule="auto"/>
        <w:jc w:val="both"/>
        <w:rPr>
          <w:rFonts w:ascii="Times New Roman" w:hAnsi="Times New Roman" w:eastAsia="Times New Roman" w:cs="Arial"/>
          <w:spacing w:val="-3"/>
          <w:sz w:val="20"/>
          <w:lang w:val="es-ES" w:eastAsia="hi-IN" w:bidi="hi-IN"/>
        </w:rPr>
      </w:pPr>
    </w:p>
    <w:p>
      <w:pPr>
        <w:suppressAutoHyphens/>
        <w:spacing w:after="0" w:line="240" w:lineRule="auto"/>
        <w:ind w:left="567" w:right="45"/>
        <w:jc w:val="both"/>
        <w:rPr>
          <w:rFonts w:ascii="Arial" w:hAnsi="Arial" w:eastAsia="Times New Roman" w:cs="Arial"/>
          <w:spacing w:val="-2"/>
          <w:sz w:val="20"/>
          <w:lang w:eastAsia="hi-IN" w:bidi="hi-IN"/>
        </w:rPr>
      </w:pPr>
      <w:r>
        <w:rPr>
          <w:rFonts w:ascii="Arial" w:hAnsi="Arial" w:eastAsia="Times New Roman" w:cs="Arial"/>
          <w:b/>
          <w:sz w:val="20"/>
          <w:lang w:eastAsia="hi-IN" w:bidi="hi-IN"/>
        </w:rPr>
        <w:t xml:space="preserve">1.1. - 1.2. </w:t>
      </w:r>
      <w:r>
        <w:rPr>
          <w:rFonts w:ascii="Arial" w:hAnsi="Arial" w:eastAsia="Times New Roman" w:cs="Arial"/>
          <w:sz w:val="20"/>
          <w:lang w:eastAsia="hi-IN" w:bidi="hi-IN"/>
        </w:rPr>
        <w:t>Carta de Presentación y compromiso (Formulario del Oferente FIRMADO).</w:t>
      </w:r>
    </w:p>
    <w:p>
      <w:pPr>
        <w:suppressAutoHyphens/>
        <w:spacing w:after="0" w:line="240" w:lineRule="auto"/>
        <w:ind w:left="567" w:right="45"/>
        <w:jc w:val="both"/>
        <w:rPr>
          <w:rFonts w:ascii="Arial" w:hAnsi="Arial" w:eastAsia="Times New Roman" w:cs="Arial"/>
          <w:sz w:val="20"/>
          <w:lang w:eastAsia="hi-IN" w:bidi="hi-IN"/>
        </w:rPr>
      </w:pPr>
      <w:r>
        <w:rPr>
          <w:rFonts w:ascii="Arial" w:hAnsi="Arial" w:eastAsia="Times New Roman" w:cs="Arial"/>
          <w:b/>
          <w:spacing w:val="-2"/>
          <w:sz w:val="20"/>
          <w:lang w:eastAsia="hi-IN" w:bidi="hi-IN"/>
        </w:rPr>
        <w:t xml:space="preserve">1.3. </w:t>
      </w:r>
      <w:r>
        <w:rPr>
          <w:rFonts w:ascii="Arial" w:hAnsi="Arial" w:eastAsia="Times New Roman" w:cs="Arial"/>
          <w:sz w:val="20"/>
          <w:lang w:eastAsia="hi-IN" w:bidi="hi-IN"/>
        </w:rPr>
        <w:t>Situación financiera. Los oferentes personas jurídicas deberán justificar el patrimonio de acuerdo lo señalado en la Resolución INCOP RE- 2013-000082 de fecha 15 de febrero 2013.</w:t>
      </w:r>
    </w:p>
    <w:p>
      <w:pPr>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1.4.</w:t>
      </w:r>
      <w:r>
        <w:rPr>
          <w:rFonts w:ascii="Arial" w:hAnsi="Arial" w:eastAsia="Times New Roman" w:cs="Arial"/>
          <w:sz w:val="20"/>
          <w:lang w:eastAsia="hi-IN" w:bidi="hi-IN"/>
        </w:rPr>
        <w:t xml:space="preserve">   Tabla de descripción de rubros, unidades, cantidades, precios unitarios y totales</w:t>
      </w:r>
    </w:p>
    <w:p>
      <w:pPr>
        <w:suppressAutoHyphens/>
        <w:spacing w:after="0" w:line="240" w:lineRule="auto"/>
        <w:ind w:left="567" w:right="45"/>
        <w:rPr>
          <w:rFonts w:ascii="Arial" w:hAnsi="Arial" w:eastAsia="Times New Roman" w:cs="Arial"/>
          <w:spacing w:val="-2"/>
          <w:sz w:val="20"/>
          <w:lang w:eastAsia="hi-IN" w:bidi="hi-IN"/>
        </w:rPr>
      </w:pPr>
      <w:r>
        <w:rPr>
          <w:rFonts w:ascii="Arial" w:hAnsi="Arial" w:eastAsia="Times New Roman" w:cs="Arial"/>
          <w:b/>
          <w:spacing w:val="-2"/>
          <w:sz w:val="20"/>
          <w:lang w:eastAsia="hi-IN" w:bidi="hi-IN"/>
        </w:rPr>
        <w:t>1.5.</w:t>
      </w:r>
      <w:r>
        <w:rPr>
          <w:rFonts w:ascii="Arial" w:hAnsi="Arial" w:eastAsia="Times New Roman" w:cs="Arial"/>
          <w:spacing w:val="-2"/>
          <w:sz w:val="20"/>
          <w:lang w:eastAsia="hi-IN" w:bidi="hi-IN"/>
        </w:rPr>
        <w:t xml:space="preserve">   Análisis de precios unitarios</w:t>
      </w:r>
    </w:p>
    <w:p>
      <w:pPr>
        <w:keepNext/>
        <w:keepLines/>
        <w:tabs>
          <w:tab w:val="left" w:pos="0"/>
        </w:tabs>
        <w:suppressAutoHyphens/>
        <w:spacing w:after="0" w:line="240" w:lineRule="auto"/>
        <w:ind w:left="567" w:right="45"/>
        <w:outlineLvl w:val="0"/>
        <w:rPr>
          <w:rFonts w:ascii="Arial" w:hAnsi="Arial" w:eastAsia="Times New Roman" w:cs="Arial"/>
          <w:bCs/>
          <w:sz w:val="20"/>
          <w:lang w:eastAsia="hi-IN" w:bidi="hi-IN"/>
        </w:rPr>
      </w:pPr>
      <w:r>
        <w:rPr>
          <w:rFonts w:ascii="Arial" w:hAnsi="Arial" w:eastAsia="Times New Roman" w:cs="Arial"/>
          <w:b/>
          <w:bCs/>
          <w:sz w:val="20"/>
          <w:lang w:eastAsia="hi-IN" w:bidi="hi-IN"/>
        </w:rPr>
        <w:t xml:space="preserve">1.6. </w:t>
      </w:r>
      <w:r>
        <w:rPr>
          <w:rFonts w:ascii="Arial" w:hAnsi="Arial" w:eastAsia="Times New Roman" w:cs="Arial"/>
          <w:bCs/>
          <w:sz w:val="20"/>
          <w:lang w:eastAsia="hi-IN" w:bidi="hi-IN"/>
        </w:rPr>
        <w:t xml:space="preserve">  Metodología de construcción</w:t>
      </w:r>
    </w:p>
    <w:p>
      <w:pPr>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1.7.</w:t>
      </w:r>
      <w:r>
        <w:rPr>
          <w:rFonts w:ascii="Arial" w:hAnsi="Arial" w:eastAsia="Times New Roman" w:cs="Arial"/>
          <w:sz w:val="20"/>
          <w:lang w:eastAsia="hi-IN" w:bidi="hi-IN"/>
        </w:rPr>
        <w:t xml:space="preserve">   Cronograma valorado de trabajos</w:t>
      </w:r>
    </w:p>
    <w:p>
      <w:pPr>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1.8.</w:t>
      </w:r>
      <w:r>
        <w:rPr>
          <w:rFonts w:ascii="Arial" w:hAnsi="Arial" w:eastAsia="Times New Roman" w:cs="Arial"/>
          <w:sz w:val="20"/>
          <w:lang w:eastAsia="hi-IN" w:bidi="hi-IN"/>
        </w:rPr>
        <w:t xml:space="preserve">   Experiencia Específica del oferente</w:t>
      </w:r>
    </w:p>
    <w:p>
      <w:pPr>
        <w:tabs>
          <w:tab w:val="left" w:pos="1418"/>
          <w:tab w:val="left" w:pos="1985"/>
        </w:tabs>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1.9.</w:t>
      </w:r>
      <w:r>
        <w:rPr>
          <w:rFonts w:ascii="Arial" w:hAnsi="Arial" w:eastAsia="Times New Roman" w:cs="Arial"/>
          <w:sz w:val="20"/>
          <w:lang w:eastAsia="hi-IN" w:bidi="hi-IN"/>
        </w:rPr>
        <w:t xml:space="preserve">   Personal técnico propuesto para el proyecto</w:t>
      </w:r>
    </w:p>
    <w:p>
      <w:pPr>
        <w:tabs>
          <w:tab w:val="left" w:pos="1418"/>
          <w:tab w:val="left" w:pos="1985"/>
        </w:tabs>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1.10.</w:t>
      </w:r>
      <w:r>
        <w:rPr>
          <w:rFonts w:ascii="Arial" w:hAnsi="Arial" w:eastAsia="Times New Roman" w:cs="Arial"/>
          <w:sz w:val="20"/>
          <w:lang w:eastAsia="hi-IN" w:bidi="hi-IN"/>
        </w:rPr>
        <w:t xml:space="preserve"> Equipo mínimo asignado al proyecto</w:t>
      </w:r>
    </w:p>
    <w:p>
      <w:pPr>
        <w:suppressAutoHyphens/>
        <w:spacing w:after="0" w:line="240" w:lineRule="auto"/>
        <w:ind w:left="1134" w:right="45" w:hanging="567"/>
        <w:rPr>
          <w:rFonts w:ascii="Arial" w:hAnsi="Arial" w:eastAsia="Times New Roman" w:cs="Arial"/>
          <w:sz w:val="20"/>
          <w:lang w:val="es-ES" w:eastAsia="hi-IN" w:bidi="hi-IN"/>
        </w:rPr>
      </w:pPr>
    </w:p>
    <w:p>
      <w:pPr>
        <w:widowControl w:val="0"/>
        <w:tabs>
          <w:tab w:val="left" w:pos="1560"/>
        </w:tabs>
        <w:suppressAutoHyphens/>
        <w:spacing w:after="0" w:line="240" w:lineRule="auto"/>
        <w:ind w:left="360" w:right="45"/>
        <w:rPr>
          <w:rFonts w:ascii="Arial" w:hAnsi="Arial" w:eastAsia="Times New Roman" w:cs="Arial"/>
          <w:b/>
          <w:spacing w:val="-2"/>
          <w:sz w:val="20"/>
          <w:lang w:val="es-ES" w:eastAsia="hi-IN" w:bidi="hi-IN"/>
        </w:rPr>
      </w:pPr>
      <w:r>
        <w:rPr>
          <w:rFonts w:ascii="Arial" w:hAnsi="Arial" w:eastAsia="Times New Roman" w:cs="Arial"/>
          <w:b/>
          <w:spacing w:val="-2"/>
          <w:sz w:val="20"/>
          <w:lang w:val="es-ES" w:eastAsia="hi-IN" w:bidi="hi-IN"/>
        </w:rPr>
        <w:t>II Formulario de compromiso de participación del personal técnico y hoja de vida</w:t>
      </w:r>
    </w:p>
    <w:p>
      <w:pPr>
        <w:widowControl w:val="0"/>
        <w:tabs>
          <w:tab w:val="left" w:pos="1560"/>
        </w:tabs>
        <w:suppressAutoHyphens/>
        <w:spacing w:after="0" w:line="240" w:lineRule="auto"/>
        <w:ind w:left="360" w:right="45"/>
        <w:rPr>
          <w:rFonts w:ascii="Arial" w:hAnsi="Arial" w:eastAsia="Times New Roman" w:cs="Arial"/>
          <w:spacing w:val="-2"/>
          <w:sz w:val="20"/>
          <w:lang w:val="es-ES" w:eastAsia="hi-IN" w:bidi="hi-IN"/>
        </w:rPr>
      </w:pPr>
    </w:p>
    <w:p>
      <w:pPr>
        <w:widowControl w:val="0"/>
        <w:tabs>
          <w:tab w:val="left" w:pos="1134"/>
        </w:tabs>
        <w:suppressAutoHyphens/>
        <w:spacing w:after="0" w:line="240" w:lineRule="auto"/>
        <w:ind w:left="1134" w:right="45" w:hanging="567"/>
        <w:rPr>
          <w:rFonts w:ascii="Arial" w:hAnsi="Arial" w:eastAsia="Times New Roman" w:cs="Arial"/>
          <w:spacing w:val="-2"/>
          <w:sz w:val="20"/>
          <w:lang w:val="es-ES" w:eastAsia="hi-IN" w:bidi="hi-IN"/>
        </w:rPr>
      </w:pPr>
      <w:r>
        <w:rPr>
          <w:rFonts w:ascii="Arial" w:hAnsi="Arial" w:eastAsia="Times New Roman" w:cs="Arial"/>
          <w:b/>
          <w:spacing w:val="-2"/>
          <w:sz w:val="20"/>
          <w:lang w:val="es-ES" w:eastAsia="hi-IN" w:bidi="hi-IN"/>
        </w:rPr>
        <w:t>2.1</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Compromiso FIRMADO por el personal asignado al proyecto</w:t>
      </w:r>
    </w:p>
    <w:p>
      <w:pPr>
        <w:widowControl w:val="0"/>
        <w:tabs>
          <w:tab w:val="left" w:pos="1134"/>
        </w:tabs>
        <w:suppressAutoHyphens/>
        <w:spacing w:after="0" w:line="240" w:lineRule="auto"/>
        <w:ind w:left="1134" w:right="45" w:hanging="567"/>
        <w:rPr>
          <w:rFonts w:ascii="Arial" w:hAnsi="Arial" w:eastAsia="Times New Roman" w:cs="Arial"/>
          <w:spacing w:val="-2"/>
          <w:sz w:val="20"/>
          <w:lang w:val="es-ES" w:eastAsia="hi-IN" w:bidi="hi-IN"/>
        </w:rPr>
      </w:pPr>
      <w:r>
        <w:rPr>
          <w:rFonts w:ascii="Arial" w:hAnsi="Arial" w:eastAsia="Times New Roman" w:cs="Arial"/>
          <w:b/>
          <w:spacing w:val="-2"/>
          <w:sz w:val="20"/>
          <w:lang w:val="es-ES" w:eastAsia="hi-IN" w:bidi="hi-IN"/>
        </w:rPr>
        <w:t>2.2</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Hoja de vida del personal técnico asignado al proyecto</w:t>
      </w:r>
    </w:p>
    <w:p>
      <w:pPr>
        <w:widowControl w:val="0"/>
        <w:tabs>
          <w:tab w:val="left" w:pos="1560"/>
        </w:tabs>
        <w:suppressAutoHyphens/>
        <w:spacing w:after="0" w:line="240" w:lineRule="auto"/>
        <w:ind w:left="360" w:right="45"/>
        <w:rPr>
          <w:rFonts w:ascii="Arial" w:hAnsi="Arial" w:eastAsia="Times New Roman" w:cs="Arial"/>
          <w:spacing w:val="-2"/>
          <w:sz w:val="20"/>
          <w:lang w:val="es-ES" w:eastAsia="hi-IN" w:bidi="hi-IN"/>
        </w:rPr>
      </w:pPr>
    </w:p>
    <w:p>
      <w:pPr>
        <w:widowControl w:val="0"/>
        <w:tabs>
          <w:tab w:val="left" w:pos="709"/>
        </w:tabs>
        <w:suppressAutoHyphens/>
        <w:spacing w:after="0" w:line="240" w:lineRule="auto"/>
        <w:ind w:left="709" w:right="45" w:hanging="349"/>
        <w:rPr>
          <w:rFonts w:ascii="Arial" w:hAnsi="Arial" w:eastAsia="Times New Roman" w:cs="Arial"/>
          <w:b/>
          <w:spacing w:val="-2"/>
          <w:sz w:val="20"/>
          <w:lang w:val="es-ES" w:eastAsia="hi-IN" w:bidi="hi-IN"/>
        </w:rPr>
      </w:pPr>
      <w:r>
        <w:rPr>
          <w:rFonts w:ascii="Arial" w:hAnsi="Arial" w:eastAsia="Times New Roman" w:cs="Arial"/>
          <w:b/>
          <w:spacing w:val="-2"/>
          <w:sz w:val="20"/>
          <w:lang w:val="es-ES" w:eastAsia="hi-IN" w:bidi="hi-IN"/>
        </w:rPr>
        <w:t>III</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 xml:space="preserve">Formulario de compromiso de subcontratación (de ser procedente) </w:t>
      </w:r>
    </w:p>
    <w:p>
      <w:pPr>
        <w:widowControl w:val="0"/>
        <w:tabs>
          <w:tab w:val="left" w:pos="1560"/>
        </w:tabs>
        <w:suppressAutoHyphens/>
        <w:spacing w:after="0" w:line="240" w:lineRule="auto"/>
        <w:ind w:left="360" w:right="45"/>
        <w:rPr>
          <w:rFonts w:ascii="Arial" w:hAnsi="Arial" w:eastAsia="Times New Roman" w:cs="Arial"/>
          <w:spacing w:val="-2"/>
          <w:sz w:val="20"/>
          <w:lang w:val="es-ES" w:eastAsia="hi-IN" w:bidi="hi-IN"/>
        </w:rPr>
      </w:pPr>
    </w:p>
    <w:p>
      <w:pPr>
        <w:autoSpaceDE w:val="0"/>
        <w:autoSpaceDN w:val="0"/>
        <w:adjustRightInd w:val="0"/>
        <w:spacing w:after="0" w:line="240" w:lineRule="auto"/>
        <w:jc w:val="both"/>
        <w:rPr>
          <w:rFonts w:ascii="Arial" w:hAnsi="Arial" w:eastAsia="Calibri" w:cs="Arial"/>
          <w:bCs/>
          <w:sz w:val="20"/>
        </w:rPr>
      </w:pPr>
      <w:r>
        <w:rPr>
          <w:rFonts w:ascii="Arial" w:hAnsi="Arial" w:eastAsia="Calibri" w:cs="Arial"/>
          <w:bCs/>
          <w:sz w:val="20"/>
        </w:rPr>
        <w:t xml:space="preserve">El oferente, deberá además entregar y adjuntar a su oferta los siguientes documentos: </w:t>
      </w:r>
    </w:p>
    <w:p>
      <w:pPr>
        <w:tabs>
          <w:tab w:val="left" w:pos="2532"/>
        </w:tabs>
        <w:autoSpaceDE w:val="0"/>
        <w:autoSpaceDN w:val="0"/>
        <w:adjustRightInd w:val="0"/>
        <w:spacing w:after="0" w:line="240" w:lineRule="auto"/>
        <w:rPr>
          <w:rFonts w:ascii="Arial" w:hAnsi="Arial" w:eastAsia="Calibri" w:cs="Arial"/>
          <w:b/>
          <w:bCs/>
          <w:sz w:val="18"/>
          <w:szCs w:val="20"/>
          <w:highlight w:val="yellow"/>
        </w:rPr>
      </w:pPr>
    </w:p>
    <w:p>
      <w:pPr>
        <w:pStyle w:val="57"/>
        <w:numPr>
          <w:ilvl w:val="0"/>
          <w:numId w:val="3"/>
        </w:numPr>
        <w:autoSpaceDE w:val="0"/>
        <w:autoSpaceDN w:val="0"/>
        <w:adjustRightInd w:val="0"/>
        <w:jc w:val="both"/>
        <w:rPr>
          <w:rFonts w:ascii="Arial" w:hAnsi="Arial" w:cs="Arial"/>
          <w:bCs/>
          <w:sz w:val="20"/>
        </w:rPr>
      </w:pPr>
      <w:r>
        <w:rPr>
          <w:rFonts w:ascii="Arial" w:hAnsi="Arial" w:cs="Arial"/>
          <w:bCs/>
          <w:sz w:val="20"/>
        </w:rPr>
        <w:t>Su oferta física anillada, foliada, rubricada y FIRMADA, en Original, Copia y en Formato Digital (Oferta Económica).</w:t>
      </w:r>
    </w:p>
    <w:p>
      <w:pPr>
        <w:autoSpaceDE w:val="0"/>
        <w:autoSpaceDN w:val="0"/>
        <w:adjustRightInd w:val="0"/>
        <w:spacing w:after="0" w:line="240" w:lineRule="auto"/>
        <w:jc w:val="both"/>
        <w:rPr>
          <w:rFonts w:ascii="Arial" w:hAnsi="Arial" w:eastAsia="Times New Roman" w:cs="Arial"/>
          <w:b/>
          <w:bCs/>
          <w:sz w:val="20"/>
          <w:lang w:eastAsia="hi-IN" w:bidi="hi-IN"/>
        </w:rPr>
      </w:pPr>
    </w:p>
    <w:p>
      <w:pPr>
        <w:autoSpaceDE w:val="0"/>
        <w:autoSpaceDN w:val="0"/>
        <w:adjustRightInd w:val="0"/>
        <w:spacing w:after="0" w:line="240" w:lineRule="auto"/>
        <w:jc w:val="both"/>
        <w:rPr>
          <w:rFonts w:ascii="Arial" w:hAnsi="Arial" w:eastAsia="Times New Roman" w:cs="Arial"/>
          <w:b/>
          <w:bCs/>
          <w:sz w:val="20"/>
          <w:lang w:eastAsia="hi-IN" w:bidi="hi-IN"/>
        </w:rPr>
      </w:pPr>
      <w:r>
        <w:rPr>
          <w:rFonts w:ascii="Arial" w:hAnsi="Arial" w:eastAsia="Times New Roman" w:cs="Arial"/>
          <w:b/>
          <w:bCs/>
          <w:sz w:val="20"/>
          <w:lang w:eastAsia="hi-IN" w:bidi="hi-IN"/>
        </w:rPr>
        <w:t>4.1.2 Equipo mínimo:</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Para la ejecución de la obra materia del presente procedimiento, el Contratista deberá contar mínimo con el siguiente equipo:</w:t>
      </w:r>
    </w:p>
    <w:p>
      <w:pPr>
        <w:suppressAutoHyphens/>
        <w:spacing w:after="0" w:line="240" w:lineRule="auto"/>
        <w:jc w:val="both"/>
        <w:rPr>
          <w:rFonts w:ascii="Arial" w:hAnsi="Arial" w:eastAsia="Times New Roman" w:cs="Arial"/>
          <w:spacing w:val="-3"/>
          <w:sz w:val="20"/>
          <w:lang w:eastAsia="hi-IN" w:bidi="hi-IN"/>
        </w:rPr>
      </w:pPr>
    </w:p>
    <w:tbl>
      <w:tblPr>
        <w:tblStyle w:val="46"/>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377"/>
        <w:gridCol w:w="11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33"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eastAsia="hi-IN" w:bidi="hi-IN"/>
              </w:rPr>
              <w:t>No. orden</w:t>
            </w:r>
          </w:p>
        </w:tc>
        <w:tc>
          <w:tcPr>
            <w:tcW w:w="3377"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val="pt-BR" w:eastAsia="hi-IN" w:bidi="hi-IN"/>
              </w:rPr>
              <w:t>Descripcióndel equipo</w:t>
            </w:r>
          </w:p>
        </w:tc>
        <w:tc>
          <w:tcPr>
            <w:tcW w:w="113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eastAsia="hi-IN" w:bidi="hi-IN"/>
              </w:rPr>
              <w:t>No. de unidades</w:t>
            </w:r>
          </w:p>
        </w:tc>
        <w:tc>
          <w:tcPr>
            <w:tcW w:w="357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eastAsia="hi-IN" w:bidi="hi-IN"/>
              </w:rPr>
              <w:t>Características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b/>
                <w:spacing w:val="-2"/>
                <w:sz w:val="20"/>
                <w:highlight w:val="yellow"/>
                <w:lang w:eastAsia="hi-IN" w:bidi="hi-IN"/>
              </w:rPr>
            </w:pPr>
            <w:r>
              <w:rPr>
                <w:rFonts w:ascii="Arial" w:hAnsi="Arial" w:eastAsia="Times New Roman" w:cs="Arial"/>
                <w:sz w:val="20"/>
                <w:lang w:val="es-ES" w:eastAsia="es-ES" w:bidi="hi-IN"/>
              </w:rPr>
              <w:t xml:space="preserve">Retroexcavadora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 xml:space="preserve">Mínimo 90 HP.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bCs/>
                <w:spacing w:val="-3"/>
                <w:sz w:val="20"/>
                <w:lang w:eastAsia="hi-IN" w:bidi="hi-IN"/>
              </w:rPr>
              <w:t xml:space="preserve">Minicargadora  con </w:t>
            </w:r>
            <w:r>
              <w:rPr>
                <w:rFonts w:ascii="Arial" w:hAnsi="Arial" w:eastAsia="Times New Roman" w:cs="Arial"/>
                <w:sz w:val="20"/>
                <w:lang w:val="es-ES" w:eastAsia="es-ES" w:bidi="hi-IN"/>
              </w:rPr>
              <w:t>escoba mecánica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60 HP. Escoba con cepillo auto cambiable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3</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Motoniveladora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125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4</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Rodillo compactador liso (Tándem)</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100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5</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Rodillo neumático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85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6</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Distribuidor de asfalto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1500 galones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7</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Acabadora de pavimento asfáltico (finisher)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150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8</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Tanquero de agua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6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9</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highlight w:val="yellow"/>
                <w:lang w:val="es-ES" w:eastAsia="es-ES" w:bidi="hi-IN"/>
              </w:rPr>
            </w:pPr>
            <w:r>
              <w:rPr>
                <w:rFonts w:ascii="Arial" w:hAnsi="Arial" w:eastAsia="Times New Roman" w:cs="Arial"/>
                <w:sz w:val="20"/>
                <w:lang w:val="es-ES" w:eastAsia="es-ES" w:bidi="hi-IN"/>
              </w:rPr>
              <w:t xml:space="preserve">Volquetas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4</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8,00 m³ o 12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10</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Vibroapisonador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3</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4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Plancha compactadora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4,8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Vibrador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Eléctrico o a gasolina</w:t>
            </w:r>
          </w:p>
        </w:tc>
      </w:tr>
    </w:tbl>
    <w:p>
      <w:pPr>
        <w:tabs>
          <w:tab w:val="left" w:pos="3196"/>
        </w:tabs>
        <w:suppressAutoHyphens/>
        <w:spacing w:after="0" w:line="240" w:lineRule="auto"/>
        <w:jc w:val="both"/>
        <w:rPr>
          <w:rFonts w:ascii="Arial" w:hAnsi="Arial" w:eastAsia="Times New Roman" w:cs="Arial"/>
          <w:b/>
          <w:szCs w:val="24"/>
          <w:lang w:eastAsia="hi-IN" w:bidi="hi-IN"/>
        </w:rPr>
      </w:pPr>
    </w:p>
    <w:p>
      <w:pPr>
        <w:tabs>
          <w:tab w:val="left" w:pos="3196"/>
        </w:tabs>
        <w:suppressAutoHyphens/>
        <w:spacing w:after="0" w:line="240" w:lineRule="auto"/>
        <w:jc w:val="both"/>
        <w:rPr>
          <w:rFonts w:ascii="Arial" w:hAnsi="Arial" w:eastAsia="Times New Roman" w:cs="Arial"/>
          <w:b/>
          <w:szCs w:val="24"/>
          <w:lang w:eastAsia="hi-IN" w:bidi="hi-IN"/>
        </w:rPr>
      </w:pPr>
      <w:r>
        <w:rPr>
          <w:rFonts w:ascii="Times New Roman" w:hAnsi="Times New Roman" w:cs="Times New Roman"/>
          <w:i/>
        </w:rPr>
        <w:t>Los Equipos y maquinaria que vayan a utilizarse en los procesos de contratación pública, con cualquier entidad u organismo del Estado, no podrán exceder los veinte y cinco años de vida útil contados a partir del año de fabricación y en relación a la fecha de la convocatoria pública. “Acuerdo Ministerial No. 79 del Registro oficial No.62 de fecha 21 de Octubre de 2012, disposición General Segunda”.</w:t>
      </w:r>
    </w:p>
    <w:p>
      <w:pPr>
        <w:tabs>
          <w:tab w:val="left" w:pos="3196"/>
        </w:tabs>
        <w:suppressAutoHyphens/>
        <w:spacing w:after="0" w:line="240" w:lineRule="auto"/>
        <w:jc w:val="both"/>
        <w:rPr>
          <w:rFonts w:ascii="Arial" w:hAnsi="Arial" w:eastAsia="Times New Roman" w:cs="Arial"/>
          <w:b/>
          <w:szCs w:val="24"/>
          <w:lang w:eastAsia="hi-IN" w:bidi="hi-IN"/>
        </w:rPr>
      </w:pPr>
    </w:p>
    <w:p>
      <w:pPr>
        <w:tabs>
          <w:tab w:val="left" w:pos="3196"/>
        </w:tabs>
        <w:suppressAutoHyphens/>
        <w:spacing w:after="0" w:line="240" w:lineRule="auto"/>
        <w:jc w:val="both"/>
        <w:rPr>
          <w:rFonts w:ascii="Arial" w:hAnsi="Arial" w:eastAsia="Times New Roman" w:cs="Arial"/>
          <w:b/>
          <w:szCs w:val="24"/>
          <w:lang w:eastAsia="hi-IN" w:bidi="hi-IN"/>
        </w:rPr>
      </w:pPr>
      <w:r>
        <w:rPr>
          <w:rFonts w:ascii="Arial" w:hAnsi="Arial" w:eastAsia="Times New Roman" w:cs="Arial"/>
          <w:b/>
          <w:szCs w:val="24"/>
          <w:lang w:eastAsia="hi-IN" w:bidi="hi-IN"/>
        </w:rPr>
        <w:t xml:space="preserve">El oferente deberá demostrar en su propuesta la disponibilidad del equipo solicitado, mediante la presentación de facturas, compromisos de alquiler, compromisos de compra y/o matrículas vigentes para la maquinaria pesada; para el caso de las volquetas: matrícula y certificados de Revisión Vehicular vigente de acuerdo al último dígito de la placa. Este equipo deberá permanecer durante la ejecución de la obra, de conformidad con el cronograma de ejecución de los trabajos y deberán estar en óptimas condiciones de operación. </w:t>
      </w:r>
    </w:p>
    <w:p>
      <w:pPr>
        <w:suppressAutoHyphens/>
        <w:spacing w:after="0" w:line="240" w:lineRule="auto"/>
        <w:jc w:val="both"/>
        <w:rPr>
          <w:rFonts w:ascii="Arial" w:hAnsi="Arial" w:eastAsia="Times New Roman" w:cs="Arial"/>
          <w:spacing w:val="-3"/>
          <w:sz w:val="20"/>
          <w:highlight w:val="green"/>
          <w:lang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Se presentarán las matrículas VIGENTES del equipo propuesto por parte de los oferentes, ya sea que el equipo fuese de su propiedad, o se ofrezca bajo arriendo o compromiso de arrendamiento. </w:t>
      </w:r>
    </w:p>
    <w:p>
      <w:pPr>
        <w:suppressAutoHyphens/>
        <w:spacing w:after="0" w:line="200" w:lineRule="exact"/>
        <w:rPr>
          <w:rFonts w:ascii="Times New Roman" w:hAnsi="Times New Roman" w:eastAsia="Times New Roman" w:cs="Times New Roman"/>
          <w:szCs w:val="20"/>
          <w:lang w:val="es-ES" w:eastAsia="hi-IN" w:bidi="hi-IN"/>
        </w:rPr>
      </w:pPr>
    </w:p>
    <w:p>
      <w:pPr>
        <w:tabs>
          <w:tab w:val="left" w:pos="15"/>
        </w:tabs>
        <w:suppressAutoHyphens/>
        <w:spacing w:after="0" w:line="240" w:lineRule="auto"/>
        <w:jc w:val="both"/>
        <w:rPr>
          <w:rFonts w:ascii="Arial" w:hAnsi="Arial" w:eastAsia="Calibri" w:cs="Arial"/>
          <w:bCs/>
          <w:sz w:val="20"/>
          <w:lang w:eastAsia="hi-IN" w:bidi="hi-IN"/>
        </w:rPr>
      </w:pPr>
      <w:r>
        <w:rPr>
          <w:rFonts w:ascii="Arial" w:hAnsi="Arial" w:eastAsia="Calibri" w:cs="Arial"/>
          <w:bCs/>
          <w:sz w:val="20"/>
          <w:lang w:eastAsia="hi-IN" w:bidi="hi-IN"/>
        </w:rPr>
        <w:t>Es responsabilidad del contratista la disponer de todo el equipo menor o secundario que sea necesario durante la construcción de todas las obras.</w:t>
      </w: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4.1.3 Personal técnico mínimo:</w:t>
      </w: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Cs/>
          <w:spacing w:val="-3"/>
          <w:sz w:val="20"/>
          <w:lang w:val="es-ES" w:eastAsia="hi-IN" w:bidi="hi-IN"/>
        </w:rPr>
      </w:pPr>
    </w:p>
    <w:p>
      <w:pPr>
        <w:suppressAutoHyphens/>
        <w:spacing w:after="0" w:line="240" w:lineRule="auto"/>
        <w:ind w:right="96"/>
        <w:jc w:val="both"/>
        <w:rPr>
          <w:rFonts w:ascii="Arial" w:hAnsi="Arial" w:eastAsia="Calibri" w:cs="Arial"/>
          <w:bCs/>
          <w:sz w:val="20"/>
          <w:lang w:eastAsia="hi-IN" w:bidi="hi-IN"/>
        </w:rPr>
      </w:pPr>
      <w:r>
        <w:rPr>
          <w:rFonts w:ascii="Arial" w:hAnsi="Arial" w:eastAsia="Calibri" w:cs="Arial"/>
          <w:bCs/>
          <w:sz w:val="20"/>
          <w:lang w:eastAsia="hi-IN" w:bidi="hi-IN"/>
        </w:rPr>
        <w:t>El Personal Técnico mínimo que deberá presentarse dentro de la oferta es el siguiente:</w:t>
      </w:r>
    </w:p>
    <w:p>
      <w:pPr>
        <w:tabs>
          <w:tab w:val="left" w:pos="15"/>
        </w:tabs>
        <w:suppressAutoHyphens/>
        <w:spacing w:after="0" w:line="240" w:lineRule="auto"/>
        <w:jc w:val="both"/>
        <w:rPr>
          <w:rFonts w:ascii="Arial" w:hAnsi="Arial" w:eastAsia="Times New Roman" w:cs="Arial"/>
          <w:bCs/>
          <w:spacing w:val="-3"/>
          <w:sz w:val="20"/>
          <w:lang w:eastAsia="hi-IN" w:bidi="hi-IN"/>
        </w:rPr>
      </w:pPr>
    </w:p>
    <w:tbl>
      <w:tblPr>
        <w:tblStyle w:val="46"/>
        <w:tblW w:w="7917" w:type="dxa"/>
        <w:jc w:val="center"/>
        <w:tblInd w:w="0" w:type="dxa"/>
        <w:tblLayout w:type="fixed"/>
        <w:tblCellMar>
          <w:top w:w="0" w:type="dxa"/>
          <w:left w:w="70" w:type="dxa"/>
          <w:bottom w:w="0" w:type="dxa"/>
          <w:right w:w="70" w:type="dxa"/>
        </w:tblCellMar>
      </w:tblPr>
      <w:tblGrid>
        <w:gridCol w:w="2683"/>
        <w:gridCol w:w="2662"/>
        <w:gridCol w:w="1656"/>
        <w:gridCol w:w="916"/>
      </w:tblGrid>
      <w:tr>
        <w:tblPrEx>
          <w:tblLayout w:type="fixed"/>
          <w:tblCellMar>
            <w:top w:w="0" w:type="dxa"/>
            <w:left w:w="70" w:type="dxa"/>
            <w:bottom w:w="0" w:type="dxa"/>
            <w:right w:w="70" w:type="dxa"/>
          </w:tblCellMar>
        </w:tblPrEx>
        <w:trPr>
          <w:trHeight w:val="1113" w:hRule="atLeast"/>
          <w:jc w:val="center"/>
        </w:trPr>
        <w:tc>
          <w:tcPr>
            <w:tcW w:w="2683" w:type="dxa"/>
            <w:tcBorders>
              <w:top w:val="double" w:color="000000" w:sz="2" w:space="0"/>
              <w:left w:val="double" w:color="000000" w:sz="2" w:space="0"/>
              <w:bottom w:val="doub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b/>
                <w:bCs/>
                <w:i/>
                <w:sz w:val="20"/>
                <w:lang w:val="pt-BR" w:eastAsia="hi-IN" w:bidi="hi-IN"/>
              </w:rPr>
            </w:pPr>
            <w:r>
              <w:rPr>
                <w:rFonts w:ascii="Arial" w:hAnsi="Arial" w:eastAsia="Times New Roman" w:cs="Arial"/>
                <w:b/>
                <w:bCs/>
                <w:i/>
                <w:sz w:val="20"/>
                <w:lang w:val="pt-BR" w:eastAsia="hi-IN" w:bidi="hi-IN"/>
              </w:rPr>
              <w:t>FUNCIONES DEL PERSONAL MÍNIMO REQUERIDO</w:t>
            </w:r>
          </w:p>
        </w:tc>
        <w:tc>
          <w:tcPr>
            <w:tcW w:w="2662" w:type="dxa"/>
            <w:tcBorders>
              <w:top w:val="double" w:color="000000" w:sz="2" w:space="0"/>
              <w:left w:val="single" w:color="000000" w:sz="4" w:space="0"/>
              <w:bottom w:val="doub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b/>
                <w:bCs/>
                <w:i/>
                <w:sz w:val="20"/>
                <w:lang w:eastAsia="hi-IN" w:bidi="hi-IN"/>
              </w:rPr>
            </w:pPr>
            <w:r>
              <w:rPr>
                <w:rFonts w:ascii="Arial" w:hAnsi="Arial" w:eastAsia="Times New Roman" w:cs="Arial"/>
                <w:b/>
                <w:bCs/>
                <w:i/>
                <w:sz w:val="20"/>
                <w:lang w:eastAsia="hi-IN" w:bidi="hi-IN"/>
              </w:rPr>
              <w:t>TITUO PROFESIONAL</w:t>
            </w:r>
          </w:p>
        </w:tc>
        <w:tc>
          <w:tcPr>
            <w:tcW w:w="1656" w:type="dxa"/>
            <w:tcBorders>
              <w:top w:val="double" w:color="000000" w:sz="2" w:space="0"/>
              <w:left w:val="single" w:color="000000" w:sz="4" w:space="0"/>
              <w:bottom w:val="doub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b/>
                <w:bCs/>
                <w:i/>
                <w:sz w:val="20"/>
                <w:lang w:eastAsia="hi-IN" w:bidi="hi-IN"/>
              </w:rPr>
            </w:pPr>
            <w:r>
              <w:rPr>
                <w:rFonts w:ascii="Arial" w:hAnsi="Arial" w:eastAsia="Times New Roman" w:cs="Arial"/>
                <w:b/>
                <w:bCs/>
                <w:i/>
                <w:sz w:val="20"/>
                <w:lang w:eastAsia="hi-IN" w:bidi="hi-IN"/>
              </w:rPr>
              <w:t>TIEMPO DE PARTICI-PACIÓN (Mínimo)</w:t>
            </w:r>
          </w:p>
        </w:tc>
        <w:tc>
          <w:tcPr>
            <w:tcW w:w="916" w:type="dxa"/>
            <w:tcBorders>
              <w:top w:val="double" w:color="000000" w:sz="2" w:space="0"/>
              <w:left w:val="single" w:color="000000" w:sz="4" w:space="0"/>
              <w:bottom w:val="double" w:color="000000" w:sz="4"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b/>
                <w:bCs/>
                <w:i/>
                <w:sz w:val="20"/>
                <w:lang w:eastAsia="hi-IN" w:bidi="hi-IN"/>
              </w:rPr>
            </w:pPr>
            <w:r>
              <w:rPr>
                <w:rFonts w:ascii="Arial" w:hAnsi="Arial" w:eastAsia="Times New Roman" w:cs="Arial"/>
                <w:b/>
                <w:bCs/>
                <w:i/>
                <w:sz w:val="20"/>
                <w:lang w:eastAsia="hi-IN" w:bidi="hi-IN"/>
              </w:rPr>
              <w:t>CANT.</w:t>
            </w:r>
          </w:p>
        </w:tc>
      </w:tr>
      <w:tr>
        <w:tblPrEx>
          <w:tblLayout w:type="fixed"/>
          <w:tblCellMar>
            <w:top w:w="0" w:type="dxa"/>
            <w:left w:w="70" w:type="dxa"/>
            <w:bottom w:w="0" w:type="dxa"/>
            <w:right w:w="70" w:type="dxa"/>
          </w:tblCellMar>
        </w:tblPrEx>
        <w:trPr>
          <w:trHeight w:val="354" w:hRule="atLeast"/>
          <w:jc w:val="center"/>
        </w:trPr>
        <w:tc>
          <w:tcPr>
            <w:tcW w:w="2683" w:type="dxa"/>
            <w:tcBorders>
              <w:top w:val="double" w:color="000000" w:sz="4" w:space="0"/>
              <w:left w:val="double" w:color="000000" w:sz="2"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 xml:space="preserve">Superintendente de Obra </w:t>
            </w:r>
            <w:r>
              <w:rPr>
                <w:rFonts w:ascii="Arial" w:hAnsi="Arial" w:eastAsia="Times New Roman" w:cs="Arial"/>
                <w:spacing w:val="-3"/>
                <w:sz w:val="20"/>
                <w:lang w:eastAsia="hi-IN" w:bidi="hi-IN"/>
              </w:rPr>
              <w:t>(Puede ser el Oferente)</w:t>
            </w:r>
          </w:p>
        </w:tc>
        <w:tc>
          <w:tcPr>
            <w:tcW w:w="2662" w:type="dxa"/>
            <w:tcBorders>
              <w:top w:val="doub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INGENIERO CIVIL</w:t>
            </w:r>
          </w:p>
        </w:tc>
        <w:tc>
          <w:tcPr>
            <w:tcW w:w="1656" w:type="dxa"/>
            <w:tcBorders>
              <w:top w:val="doub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100%</w:t>
            </w:r>
          </w:p>
        </w:tc>
        <w:tc>
          <w:tcPr>
            <w:tcW w:w="916" w:type="dxa"/>
            <w:tcBorders>
              <w:top w:val="double" w:color="000000" w:sz="4" w:space="0"/>
              <w:left w:val="single" w:color="000000" w:sz="4" w:space="0"/>
              <w:bottom w:val="single" w:color="000000" w:sz="4"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w:t>
            </w:r>
          </w:p>
        </w:tc>
      </w:tr>
      <w:tr>
        <w:tblPrEx>
          <w:tblLayout w:type="fixed"/>
          <w:tblCellMar>
            <w:top w:w="0" w:type="dxa"/>
            <w:left w:w="70" w:type="dxa"/>
            <w:bottom w:w="0" w:type="dxa"/>
            <w:right w:w="70" w:type="dxa"/>
          </w:tblCellMar>
        </w:tblPrEx>
        <w:trPr>
          <w:trHeight w:val="354" w:hRule="atLeast"/>
          <w:jc w:val="center"/>
        </w:trPr>
        <w:tc>
          <w:tcPr>
            <w:tcW w:w="2683" w:type="dxa"/>
            <w:tcBorders>
              <w:top w:val="single" w:color="000000" w:sz="4" w:space="0"/>
              <w:left w:val="double" w:color="000000" w:sz="2"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pacing w:val="-3"/>
                <w:sz w:val="20"/>
                <w:lang w:eastAsia="hi-IN" w:bidi="hi-IN"/>
              </w:rPr>
              <w:t>Residente de Obra</w:t>
            </w:r>
          </w:p>
        </w:tc>
        <w:tc>
          <w:tcPr>
            <w:tcW w:w="2662" w:type="dxa"/>
            <w:tcBorders>
              <w:top w:val="sing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INGENIERO CIVIL</w:t>
            </w:r>
          </w:p>
        </w:tc>
        <w:tc>
          <w:tcPr>
            <w:tcW w:w="1656" w:type="dxa"/>
            <w:tcBorders>
              <w:top w:val="sing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100%</w:t>
            </w:r>
          </w:p>
        </w:tc>
        <w:tc>
          <w:tcPr>
            <w:tcW w:w="916" w:type="dxa"/>
            <w:tcBorders>
              <w:top w:val="single" w:color="000000" w:sz="4" w:space="0"/>
              <w:left w:val="single" w:color="000000" w:sz="4" w:space="0"/>
              <w:bottom w:val="single" w:color="000000" w:sz="4"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2</w:t>
            </w:r>
          </w:p>
        </w:tc>
      </w:tr>
      <w:tr>
        <w:tblPrEx>
          <w:tblLayout w:type="fixed"/>
          <w:tblCellMar>
            <w:top w:w="0" w:type="dxa"/>
            <w:left w:w="70" w:type="dxa"/>
            <w:bottom w:w="0" w:type="dxa"/>
            <w:right w:w="70" w:type="dxa"/>
          </w:tblCellMar>
        </w:tblPrEx>
        <w:trPr>
          <w:trHeight w:val="1383" w:hRule="atLeast"/>
          <w:jc w:val="center"/>
        </w:trPr>
        <w:tc>
          <w:tcPr>
            <w:tcW w:w="2683" w:type="dxa"/>
            <w:tcBorders>
              <w:top w:val="single" w:color="000000" w:sz="4" w:space="0"/>
              <w:left w:val="double" w:color="000000" w:sz="2" w:space="0"/>
              <w:bottom w:val="double" w:color="000000" w:sz="2"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Especialista Ambiental</w:t>
            </w:r>
          </w:p>
        </w:tc>
        <w:tc>
          <w:tcPr>
            <w:tcW w:w="2662" w:type="dxa"/>
            <w:tcBorders>
              <w:top w:val="single" w:color="000000" w:sz="4" w:space="0"/>
              <w:left w:val="single" w:color="000000" w:sz="4" w:space="0"/>
              <w:bottom w:val="double" w:color="000000" w:sz="2"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INGENIERO AMBIENTAL</w:t>
            </w:r>
          </w:p>
        </w:tc>
        <w:tc>
          <w:tcPr>
            <w:tcW w:w="1656" w:type="dxa"/>
            <w:tcBorders>
              <w:top w:val="single" w:color="000000" w:sz="4" w:space="0"/>
              <w:left w:val="single" w:color="000000" w:sz="4" w:space="0"/>
              <w:bottom w:val="double" w:color="000000" w:sz="2"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25%</w:t>
            </w:r>
          </w:p>
        </w:tc>
        <w:tc>
          <w:tcPr>
            <w:tcW w:w="916" w:type="dxa"/>
            <w:tcBorders>
              <w:top w:val="single" w:color="000000" w:sz="4" w:space="0"/>
              <w:left w:val="single" w:color="000000" w:sz="4" w:space="0"/>
              <w:bottom w:val="double" w:color="000000" w:sz="2"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w:t>
            </w:r>
          </w:p>
        </w:tc>
      </w:tr>
    </w:tbl>
    <w:p>
      <w:pPr>
        <w:tabs>
          <w:tab w:val="left" w:pos="15"/>
        </w:tabs>
        <w:suppressAutoHyphens/>
        <w:spacing w:after="0" w:line="240" w:lineRule="auto"/>
        <w:ind w:left="735"/>
        <w:jc w:val="both"/>
        <w:rPr>
          <w:rFonts w:ascii="Arial" w:hAnsi="Arial" w:eastAsia="Calibri" w:cs="Arial"/>
          <w:spacing w:val="-3"/>
          <w:sz w:val="20"/>
          <w:lang w:val="es-ES" w:eastAsia="hi-IN" w:bidi="hi-IN"/>
        </w:rPr>
      </w:pPr>
    </w:p>
    <w:p>
      <w:pPr>
        <w:tabs>
          <w:tab w:val="left" w:pos="-720"/>
        </w:tabs>
        <w:suppressAutoHyphens/>
        <w:spacing w:after="0" w:line="240" w:lineRule="auto"/>
        <w:jc w:val="both"/>
        <w:rPr>
          <w:rFonts w:ascii="Arial" w:hAnsi="Arial" w:eastAsia="Times New Roman" w:cs="Arial"/>
          <w:spacing w:val="-3"/>
          <w:sz w:val="20"/>
          <w:highlight w:val="green"/>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4.1.4 Formación Profesional y Experiencia mínima del Personal Técnico</w:t>
      </w: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135"/>
        </w:tabs>
        <w:suppressAutoHyphens/>
        <w:autoSpaceDN w:val="0"/>
        <w:spacing w:after="0" w:line="240" w:lineRule="auto"/>
        <w:ind w:left="425" w:right="45" w:hanging="425"/>
        <w:jc w:val="both"/>
        <w:textAlignment w:val="baseline"/>
        <w:rPr>
          <w:rFonts w:ascii="Arial" w:hAnsi="Arial" w:eastAsia="Times New Roman" w:cs="Arial"/>
          <w:b/>
          <w:kern w:val="3"/>
          <w:sz w:val="20"/>
          <w:u w:val="single"/>
          <w:lang w:val="es-ES" w:eastAsia="ar-SA"/>
        </w:rPr>
      </w:pPr>
    </w:p>
    <w:p>
      <w:pPr>
        <w:tabs>
          <w:tab w:val="left" w:pos="0"/>
          <w:tab w:val="left" w:pos="851"/>
        </w:tabs>
        <w:suppressAutoHyphens/>
        <w:spacing w:after="0" w:line="240" w:lineRule="auto"/>
        <w:ind w:right="-1"/>
        <w:rPr>
          <w:rFonts w:ascii="Arial" w:hAnsi="Arial" w:eastAsia="Times New Roman" w:cs="Arial"/>
          <w:spacing w:val="-3"/>
          <w:sz w:val="20"/>
          <w:lang w:val="es-ES" w:eastAsia="hi-IN" w:bidi="hi-IN"/>
        </w:rPr>
      </w:pPr>
      <w:r>
        <w:rPr>
          <w:rFonts w:ascii="Arial" w:hAnsi="Arial" w:eastAsia="Calibri" w:cs="Arial"/>
          <w:b/>
          <w:i/>
          <w:sz w:val="20"/>
          <w:lang w:eastAsia="ar-SA" w:bidi="hi-IN"/>
        </w:rPr>
        <w:t>4.1.4.1</w:t>
      </w:r>
      <w:r>
        <w:rPr>
          <w:rFonts w:ascii="Arial" w:hAnsi="Arial" w:eastAsia="Calibri" w:cs="Arial"/>
          <w:b/>
          <w:i/>
          <w:sz w:val="20"/>
          <w:lang w:eastAsia="ar-SA" w:bidi="hi-IN"/>
        </w:rPr>
        <w:tab/>
      </w:r>
      <w:r>
        <w:rPr>
          <w:rFonts w:ascii="Arial" w:hAnsi="Arial" w:eastAsia="Calibri" w:cs="Arial"/>
          <w:b/>
          <w:i/>
          <w:sz w:val="20"/>
          <w:lang w:eastAsia="ar-SA" w:bidi="hi-IN"/>
        </w:rPr>
        <w:t xml:space="preserve">Superintendente (Puede ser el Oferente)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Deberá disponer de título de tercer nivel en Ingeniería Civil registrado en el Senescyt, tener por lo menos 15 años de experiencia contados a partir de la obtención del título de tercer nivel.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b/>
          <w:i/>
          <w:spacing w:val="-3"/>
          <w:sz w:val="20"/>
          <w:lang w:val="es-ES" w:eastAsia="hi-IN" w:bidi="hi-IN"/>
        </w:rPr>
      </w:pPr>
      <w:r>
        <w:rPr>
          <w:rFonts w:ascii="Arial" w:hAnsi="Arial" w:eastAsia="Times New Roman" w:cs="Arial"/>
          <w:spacing w:val="-3"/>
          <w:sz w:val="20"/>
          <w:lang w:val="es-ES" w:eastAsia="hi-IN" w:bidi="hi-IN"/>
        </w:rPr>
        <w:t xml:space="preserve">Demostrar experiencia dentro de los últimos 15 años, de haber participado, como </w:t>
      </w:r>
      <w:r>
        <w:rPr>
          <w:rFonts w:ascii="Arial" w:hAnsi="Arial" w:eastAsia="Arial Unicode MS" w:cs="Arial"/>
          <w:bCs/>
          <w:sz w:val="20"/>
          <w:lang w:val="es-ES" w:eastAsia="ar-SA"/>
        </w:rPr>
        <w:t xml:space="preserve">Contratista, Fiscalizador, Superintendente, Supervisor, Residente de obra y/o de Fiscalización, Jefe o Director Técnico o Subcontratista </w:t>
      </w:r>
      <w:r>
        <w:rPr>
          <w:rFonts w:ascii="Arial" w:hAnsi="Arial" w:eastAsia="Times New Roman" w:cs="Arial"/>
          <w:spacing w:val="-3"/>
          <w:sz w:val="20"/>
          <w:lang w:val="es-ES" w:eastAsia="hi-IN" w:bidi="hi-IN"/>
        </w:rPr>
        <w:t xml:space="preserve">de obras que sumen mínimo el 50% del presupuesto referencial del presente proceso, en un máximo de 3 obras similares, </w:t>
      </w:r>
      <w:r>
        <w:rPr>
          <w:rFonts w:ascii="Arial" w:hAnsi="Arial" w:eastAsia="Arial Unicode MS" w:cs="Arial"/>
          <w:bCs/>
          <w:sz w:val="20"/>
          <w:lang w:val="es-ES" w:eastAsia="ar-SA"/>
        </w:rPr>
        <w:t>entendiéndose como obra similar: Pavimento Flexible (Carpeta asfáltica en vías)</w:t>
      </w:r>
      <w:r>
        <w:rPr>
          <w:rFonts w:ascii="Arial" w:hAnsi="Arial" w:eastAsia="Times New Roman" w:cs="Arial"/>
          <w:spacing w:val="-3"/>
          <w:sz w:val="20"/>
          <w:lang w:val="es-ES" w:eastAsia="hi-IN" w:bidi="hi-IN"/>
        </w:rPr>
        <w:t>.</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del Superintendente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4"/>
        </w:numPr>
        <w:tabs>
          <w:tab w:val="left" w:pos="-720"/>
        </w:tabs>
        <w:suppressAutoHyphens/>
        <w:spacing w:after="0" w:line="240" w:lineRule="auto"/>
        <w:ind w:left="709"/>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tabs>
          <w:tab w:val="left" w:pos="-720"/>
        </w:tabs>
        <w:suppressAutoHyphens/>
        <w:spacing w:after="0" w:line="240" w:lineRule="auto"/>
        <w:ind w:left="360"/>
        <w:jc w:val="both"/>
        <w:rPr>
          <w:rFonts w:ascii="Arial" w:hAnsi="Arial" w:eastAsia="Times New Roman" w:cs="Arial"/>
          <w:i/>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pStyle w:val="57"/>
        <w:rPr>
          <w:rFonts w:ascii="Arial" w:hAnsi="Arial" w:cs="Arial"/>
          <w:i/>
          <w:spacing w:val="-3"/>
          <w:sz w:val="20"/>
          <w:lang w:val="es-ES"/>
        </w:rPr>
      </w:pPr>
    </w:p>
    <w:p>
      <w:pPr>
        <w:tabs>
          <w:tab w:val="left" w:pos="-720"/>
        </w:tabs>
        <w:suppressAutoHyphens/>
        <w:spacing w:after="0" w:line="240" w:lineRule="auto"/>
        <w:ind w:left="360"/>
        <w:jc w:val="both"/>
        <w:rPr>
          <w:rFonts w:ascii="Arial" w:hAnsi="Arial" w:eastAsia="Times New Roman" w:cs="Arial"/>
          <w:i/>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 xml:space="preserve">Si el profesional ha participado en calidad de </w:t>
      </w:r>
      <w:r>
        <w:rPr>
          <w:rFonts w:ascii="Arial" w:hAnsi="Arial" w:eastAsia="Times New Roman" w:cs="Arial"/>
          <w:b/>
          <w:i/>
          <w:spacing w:val="-3"/>
          <w:sz w:val="20"/>
          <w:lang w:val="es-ES" w:eastAsia="hi-IN" w:bidi="hi-IN"/>
        </w:rPr>
        <w:t>Fiscalizador</w:t>
      </w:r>
      <w:r>
        <w:rPr>
          <w:rFonts w:ascii="Arial" w:hAnsi="Arial" w:eastAsia="Times New Roman" w:cs="Arial"/>
          <w:i/>
          <w:spacing w:val="-3"/>
          <w:sz w:val="20"/>
          <w:lang w:val="es-ES" w:eastAsia="hi-IN" w:bidi="hi-IN"/>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eastAsia="Times New Roman" w:cs="Arial"/>
          <w:spacing w:val="-3"/>
          <w:sz w:val="20"/>
          <w:lang w:val="es-ES" w:eastAsia="hi-IN" w:bidi="hi-IN"/>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eastAsia="Times New Roman" w:cs="Arial"/>
          <w:i/>
          <w:spacing w:val="-3"/>
          <w:sz w:val="20"/>
          <w:lang w:val="es-ES" w:eastAsia="hi-IN" w:bidi="hi-IN"/>
        </w:rPr>
        <w:t xml:space="preserve">(No se aceptarán certificaciones otorgadas por el Fiscalizador de la obra, </w:t>
      </w:r>
      <w:r>
        <w:rPr>
          <w:rFonts w:ascii="Arial" w:hAnsi="Arial" w:eastAsia="Times New Roman" w:cs="Arial"/>
          <w:spacing w:val="-3"/>
          <w:sz w:val="20"/>
          <w:lang w:val="es-ES" w:eastAsia="hi-IN" w:bidi="hi-IN"/>
        </w:rPr>
        <w:t>o por el Administrador del Contrato). En el caso de trabajos realizados para el sector privado, el certificado deberá estar suscrito por el Gerente o Representante Legal de la entidad contratante</w:t>
      </w:r>
      <w:r>
        <w:rPr>
          <w:rFonts w:ascii="Arial" w:hAnsi="Arial" w:eastAsia="Times New Roman" w:cs="Arial"/>
          <w:i/>
          <w:spacing w:val="-3"/>
          <w:sz w:val="20"/>
          <w:lang w:val="es-ES" w:eastAsia="hi-IN" w:bidi="hi-IN"/>
        </w:rPr>
        <w:t>. Certificaciones o actas con relación de dependencia del sector público o privado, se valorará el 40% de monto certificado.</w:t>
      </w:r>
    </w:p>
    <w:p>
      <w:pPr>
        <w:tabs>
          <w:tab w:val="left" w:pos="-720"/>
        </w:tabs>
        <w:suppressAutoHyphens/>
        <w:spacing w:after="0" w:line="240" w:lineRule="auto"/>
        <w:ind w:left="360"/>
        <w:jc w:val="both"/>
        <w:rPr>
          <w:rFonts w:ascii="Arial" w:hAnsi="Arial" w:eastAsia="Times New Roman" w:cs="Arial"/>
          <w:spacing w:val="-3"/>
          <w:sz w:val="20"/>
          <w:lang w:val="es-ES" w:eastAsia="hi-IN" w:bidi="hi-IN"/>
        </w:rPr>
      </w:pPr>
    </w:p>
    <w:p>
      <w:pPr>
        <w:numPr>
          <w:ilvl w:val="0"/>
          <w:numId w:val="4"/>
        </w:numPr>
        <w:tabs>
          <w:tab w:val="left" w:pos="-720"/>
        </w:tabs>
        <w:suppressAutoHyphens/>
        <w:spacing w:after="0" w:line="240" w:lineRule="auto"/>
        <w:jc w:val="both"/>
        <w:rPr>
          <w:rFonts w:ascii="Calibri" w:hAnsi="Calibri" w:eastAsia="Times New Roman" w:cs="Times New Roman"/>
          <w:szCs w:val="20"/>
          <w:lang w:eastAsia="hi-IN" w:bidi="hi-IN"/>
        </w:rPr>
      </w:pPr>
      <w:r>
        <w:rPr>
          <w:rFonts w:ascii="Arial" w:hAnsi="Arial" w:eastAsia="Times New Roman" w:cs="Arial"/>
          <w:spacing w:val="-3"/>
          <w:sz w:val="20"/>
          <w:lang w:val="es-ES" w:eastAsia="hi-IN" w:bidi="hi-IN"/>
        </w:rPr>
        <w:t>Si el profesional ha participado en calidad de</w:t>
      </w:r>
      <w:r>
        <w:rPr>
          <w:rFonts w:ascii="Arial" w:hAnsi="Arial" w:eastAsia="Arial Unicode MS" w:cs="Arial"/>
          <w:bCs/>
          <w:sz w:val="20"/>
          <w:lang w:val="es-ES" w:eastAsia="ar-SA"/>
        </w:rPr>
        <w:t xml:space="preserve"> Superintendente, Supervisor, Residente de obra y/o de Fiscalización, Jefe o Director Técnico </w:t>
      </w:r>
      <w:r>
        <w:rPr>
          <w:rFonts w:ascii="Arial" w:hAnsi="Arial" w:eastAsia="Times New Roman" w:cs="Arial"/>
          <w:spacing w:val="-3"/>
          <w:sz w:val="20"/>
          <w:lang w:val="es-ES" w:eastAsia="hi-IN" w:bidi="hi-IN"/>
        </w:rPr>
        <w:t xml:space="preserve">de </w:t>
      </w:r>
      <w:r>
        <w:rPr>
          <w:rFonts w:ascii="Arial" w:hAnsi="Arial" w:eastAsia="Times New Roman" w:cs="Arial"/>
          <w:b/>
          <w:spacing w:val="-3"/>
          <w:sz w:val="20"/>
          <w:lang w:val="es-ES" w:eastAsia="hi-IN" w:bidi="hi-IN"/>
        </w:rPr>
        <w:t>obras similares</w:t>
      </w:r>
      <w:r>
        <w:rPr>
          <w:rFonts w:ascii="Arial" w:hAnsi="Arial" w:eastAsia="Times New Roman" w:cs="Arial"/>
          <w:spacing w:val="-3"/>
          <w:sz w:val="20"/>
          <w:lang w:val="es-ES" w:eastAsia="hi-IN" w:bidi="hi-IN"/>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w:t>
      </w:r>
      <w:r>
        <w:rPr>
          <w:rFonts w:ascii="Arial" w:hAnsi="Arial" w:eastAsia="Arial Unicode MS" w:cs="Arial"/>
          <w:bCs/>
          <w:sz w:val="20"/>
          <w:lang w:val="es-ES" w:eastAsia="ar-SA"/>
        </w:rPr>
        <w:t>o técnico debidamente acreditado</w:t>
      </w:r>
      <w:r>
        <w:rPr>
          <w:rFonts w:ascii="Arial" w:hAnsi="Arial" w:eastAsia="Times New Roman" w:cs="Arial"/>
          <w:spacing w:val="-3"/>
          <w:sz w:val="20"/>
          <w:lang w:val="es-ES" w:eastAsia="hi-IN" w:bidi="hi-IN"/>
        </w:rPr>
        <w:t xml:space="preserve"> 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eastAsia="Times New Roman" w:cs="Arial"/>
          <w:i/>
          <w:spacing w:val="-3"/>
          <w:sz w:val="20"/>
          <w:lang w:val="es-ES" w:eastAsia="hi-IN" w:bidi="hi-IN"/>
        </w:rPr>
        <w:t>Certificaciones o actas con relación de dependencia del sector público o privado, se valorará el 40% de monto certificado</w:t>
      </w:r>
    </w:p>
    <w:p>
      <w:pPr>
        <w:tabs>
          <w:tab w:val="left" w:pos="-720"/>
        </w:tabs>
        <w:suppressAutoHyphens/>
        <w:spacing w:after="0" w:line="240" w:lineRule="auto"/>
        <w:jc w:val="both"/>
        <w:rPr>
          <w:rFonts w:ascii="Calibri" w:hAnsi="Calibri" w:eastAsia="Times New Roman" w:cs="Times New Roman"/>
          <w:szCs w:val="20"/>
          <w:lang w:eastAsia="hi-IN" w:bidi="hi-IN"/>
        </w:rPr>
      </w:pPr>
    </w:p>
    <w:p>
      <w:pPr>
        <w:numPr>
          <w:ilvl w:val="0"/>
          <w:numId w:val="4"/>
        </w:numPr>
        <w:tabs>
          <w:tab w:val="left" w:pos="-720"/>
        </w:tabs>
        <w:suppressAutoHyphens/>
        <w:spacing w:after="0" w:line="240" w:lineRule="auto"/>
        <w:jc w:val="both"/>
        <w:rPr>
          <w:rFonts w:ascii="Calibri" w:hAnsi="Calibri" w:eastAsia="Times New Roman" w:cs="Times New Roman"/>
          <w:szCs w:val="20"/>
          <w:lang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En caso de que el Oferente, pretenda actuar ya sea como Superintendente o Residente de Obra deberá cumplir con lo exigido para cada uno de los cargos.</w:t>
      </w:r>
    </w:p>
    <w:p>
      <w:pPr>
        <w:tabs>
          <w:tab w:val="left" w:pos="317"/>
        </w:tabs>
        <w:suppressAutoHyphens/>
        <w:spacing w:after="0" w:line="240" w:lineRule="auto"/>
        <w:ind w:right="45"/>
        <w:jc w:val="both"/>
        <w:rPr>
          <w:rFonts w:ascii="Arial" w:hAnsi="Arial" w:eastAsia="Times New Roman" w:cs="Arial"/>
          <w:spacing w:val="-3"/>
          <w:sz w:val="20"/>
          <w:lang w:val="es-ES" w:eastAsia="hi-IN" w:bidi="hi-IN"/>
        </w:rPr>
      </w:pPr>
    </w:p>
    <w:p>
      <w:pPr>
        <w:tabs>
          <w:tab w:val="left" w:pos="851"/>
        </w:tabs>
        <w:suppressAutoHyphens/>
        <w:spacing w:after="0" w:line="240" w:lineRule="auto"/>
        <w:ind w:right="45"/>
        <w:rPr>
          <w:rFonts w:ascii="Arial" w:hAnsi="Arial" w:eastAsia="Calibri" w:cs="Arial"/>
          <w:b/>
          <w:i/>
          <w:sz w:val="20"/>
          <w:lang w:eastAsia="ar-SA" w:bidi="hi-IN"/>
        </w:rPr>
      </w:pPr>
    </w:p>
    <w:p>
      <w:pPr>
        <w:tabs>
          <w:tab w:val="left" w:pos="851"/>
        </w:tabs>
        <w:suppressAutoHyphens/>
        <w:spacing w:after="0" w:line="240" w:lineRule="auto"/>
        <w:ind w:right="45"/>
        <w:rPr>
          <w:rFonts w:ascii="Arial" w:hAnsi="Arial" w:eastAsia="Calibri" w:cs="Arial"/>
          <w:b/>
          <w:i/>
          <w:sz w:val="20"/>
          <w:lang w:eastAsia="ar-SA" w:bidi="hi-IN"/>
        </w:rPr>
      </w:pPr>
    </w:p>
    <w:p>
      <w:pPr>
        <w:tabs>
          <w:tab w:val="left" w:pos="851"/>
        </w:tabs>
        <w:suppressAutoHyphens/>
        <w:spacing w:after="0" w:line="240" w:lineRule="auto"/>
        <w:ind w:right="45"/>
        <w:rPr>
          <w:rFonts w:ascii="Arial" w:hAnsi="Arial" w:eastAsia="Calibri" w:cs="Arial"/>
          <w:b/>
          <w:i/>
          <w:sz w:val="20"/>
          <w:lang w:eastAsia="ar-SA" w:bidi="hi-IN"/>
        </w:rPr>
      </w:pPr>
      <w:r>
        <w:rPr>
          <w:rFonts w:ascii="Arial" w:hAnsi="Arial" w:eastAsia="Calibri" w:cs="Arial"/>
          <w:b/>
          <w:i/>
          <w:sz w:val="20"/>
          <w:lang w:eastAsia="ar-SA" w:bidi="hi-IN"/>
        </w:rPr>
        <w:t>4.1.4.2</w:t>
      </w:r>
      <w:r>
        <w:rPr>
          <w:rFonts w:ascii="Arial" w:hAnsi="Arial" w:eastAsia="Calibri" w:cs="Arial"/>
          <w:b/>
          <w:i/>
          <w:sz w:val="20"/>
          <w:lang w:eastAsia="ar-SA" w:bidi="hi-IN"/>
        </w:rPr>
        <w:tab/>
      </w:r>
      <w:r>
        <w:rPr>
          <w:rFonts w:ascii="Arial" w:hAnsi="Arial" w:eastAsia="Calibri" w:cs="Arial"/>
          <w:b/>
          <w:i/>
          <w:sz w:val="20"/>
          <w:lang w:eastAsia="ar-SA" w:bidi="hi-IN"/>
        </w:rPr>
        <w:t xml:space="preserve">Residentes de Obra </w:t>
      </w:r>
      <w:r>
        <w:rPr>
          <w:rFonts w:ascii="Arial" w:hAnsi="Arial" w:eastAsia="Times New Roman" w:cs="Arial"/>
          <w:b/>
          <w:i/>
          <w:spacing w:val="-3"/>
          <w:sz w:val="20"/>
          <w:lang w:eastAsia="hi-IN" w:bidi="hi-IN"/>
        </w:rPr>
        <w:t>(Uno de ellos puede ser el Oferente)</w:t>
      </w:r>
    </w:p>
    <w:p>
      <w:pPr>
        <w:tabs>
          <w:tab w:val="left" w:pos="1135"/>
        </w:tabs>
        <w:suppressAutoHyphens/>
        <w:autoSpaceDN w:val="0"/>
        <w:spacing w:after="0" w:line="240" w:lineRule="auto"/>
        <w:ind w:left="425" w:right="45" w:hanging="425"/>
        <w:jc w:val="both"/>
        <w:textAlignment w:val="baseline"/>
        <w:rPr>
          <w:rFonts w:ascii="Arial" w:hAnsi="Arial" w:eastAsia="Times New Roman" w:cs="Arial"/>
          <w:b/>
          <w:kern w:val="3"/>
          <w:sz w:val="20"/>
          <w:u w:val="single"/>
          <w:lang w:eastAsia="ar-SA"/>
        </w:rPr>
      </w:pPr>
    </w:p>
    <w:p>
      <w:pPr>
        <w:tabs>
          <w:tab w:val="left" w:pos="15"/>
        </w:tabs>
        <w:suppressAutoHyphens/>
        <w:spacing w:after="0" w:line="240" w:lineRule="auto"/>
        <w:jc w:val="both"/>
        <w:rPr>
          <w:rFonts w:ascii="Arial" w:hAnsi="Arial" w:eastAsia="Times New Roman" w:cs="Arial"/>
          <w:b/>
          <w:i/>
          <w:spacing w:val="-3"/>
          <w:sz w:val="20"/>
          <w:lang w:val="es-ES" w:eastAsia="hi-IN" w:bidi="hi-IN"/>
        </w:rPr>
      </w:pPr>
      <w:r>
        <w:rPr>
          <w:rFonts w:ascii="Arial" w:hAnsi="Arial" w:eastAsia="Times New Roman" w:cs="Arial"/>
          <w:spacing w:val="-3"/>
          <w:sz w:val="20"/>
          <w:lang w:val="es-ES" w:eastAsia="hi-IN" w:bidi="hi-IN"/>
        </w:rPr>
        <w:t xml:space="preserve">Deberán disponer de título de tercer nivel en Ingeniería Civil registrado en el Senescyt; y, demostrar experiencia dentro de los últimos 10 años como </w:t>
      </w:r>
      <w:r>
        <w:rPr>
          <w:rFonts w:ascii="Arial" w:hAnsi="Arial" w:eastAsia="Arial Unicode MS" w:cs="Arial"/>
          <w:bCs/>
          <w:sz w:val="20"/>
          <w:lang w:val="es-ES" w:eastAsia="ar-SA"/>
        </w:rPr>
        <w:t xml:space="preserve">Contratista, Fiscalizador, Superintendente, Supervisor, Residente de obra y/o de Fiscalización, Jefe o Director Técnico o Subcontratista </w:t>
      </w:r>
      <w:r>
        <w:rPr>
          <w:rFonts w:ascii="Arial" w:hAnsi="Arial" w:eastAsia="Times New Roman" w:cs="Arial"/>
          <w:spacing w:val="-3"/>
          <w:sz w:val="20"/>
          <w:lang w:val="es-ES" w:eastAsia="hi-IN" w:bidi="hi-IN"/>
        </w:rPr>
        <w:t xml:space="preserve">de obras que sumen mínimo el 40% del presupuesto referencial del presente proceso, en un máximo de 3 obras similares. </w:t>
      </w:r>
      <w:r>
        <w:rPr>
          <w:rFonts w:ascii="Arial" w:hAnsi="Arial" w:eastAsia="Arial Unicode MS" w:cs="Arial"/>
          <w:bCs/>
          <w:sz w:val="20"/>
          <w:lang w:val="es-ES" w:eastAsia="ar-SA"/>
        </w:rPr>
        <w:t xml:space="preserve">Entendiéndose como obra similar: Pavimento Flexible (Carpeta asfáltica en vías). </w:t>
      </w:r>
      <w:r>
        <w:rPr>
          <w:rFonts w:ascii="Arial" w:hAnsi="Arial" w:eastAsia="Times New Roman" w:cs="Arial"/>
          <w:spacing w:val="-3"/>
          <w:sz w:val="20"/>
          <w:lang w:val="es-ES" w:eastAsia="hi-IN" w:bidi="hi-IN"/>
        </w:rPr>
        <w:t>La experiencia se acreditará únicamente en obras concluidas.</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 los Residentes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5"/>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5"/>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suppressAutoHyphens/>
        <w:spacing w:after="0" w:line="240" w:lineRule="auto"/>
        <w:ind w:left="720"/>
        <w:rPr>
          <w:rFonts w:ascii="Arial" w:hAnsi="Arial" w:eastAsia="Times New Roman" w:cs="Arial"/>
          <w:spacing w:val="-3"/>
          <w:sz w:val="20"/>
          <w:lang w:val="es-ES" w:eastAsia="hi-IN" w:bidi="hi-IN"/>
        </w:rPr>
      </w:pPr>
    </w:p>
    <w:p>
      <w:pPr>
        <w:numPr>
          <w:ilvl w:val="0"/>
          <w:numId w:val="6"/>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6"/>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participado en calidad de </w:t>
      </w:r>
      <w:r>
        <w:rPr>
          <w:rFonts w:ascii="Arial" w:hAnsi="Arial" w:eastAsia="Times New Roman" w:cs="Arial"/>
          <w:b/>
          <w:i/>
          <w:spacing w:val="-3"/>
          <w:sz w:val="20"/>
          <w:lang w:val="es-ES" w:eastAsia="hi-IN" w:bidi="hi-IN"/>
        </w:rPr>
        <w:t>Fiscalizador</w:t>
      </w:r>
      <w:r>
        <w:rPr>
          <w:rFonts w:ascii="Arial" w:hAnsi="Arial" w:eastAsia="Times New Roman" w:cs="Arial"/>
          <w:i/>
          <w:spacing w:val="-3"/>
          <w:sz w:val="20"/>
          <w:lang w:val="es-ES" w:eastAsia="hi-IN" w:bidi="hi-IN"/>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eastAsia="Times New Roman" w:cs="Arial"/>
          <w:spacing w:val="-3"/>
          <w:sz w:val="20"/>
          <w:lang w:val="es-ES" w:eastAsia="hi-IN" w:bidi="hi-IN"/>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eastAsia="Times New Roman" w:cs="Arial"/>
          <w:i/>
          <w:spacing w:val="-3"/>
          <w:sz w:val="20"/>
          <w:lang w:val="es-ES" w:eastAsia="hi-IN" w:bidi="hi-IN"/>
        </w:rPr>
        <w:t xml:space="preserve">(No se aceptarán certificaciones otorgadas por el Fiscalizador de la obra, </w:t>
      </w:r>
      <w:r>
        <w:rPr>
          <w:rFonts w:ascii="Arial" w:hAnsi="Arial" w:eastAsia="Times New Roman" w:cs="Arial"/>
          <w:spacing w:val="-3"/>
          <w:sz w:val="20"/>
          <w:lang w:val="es-ES" w:eastAsia="hi-IN" w:bidi="hi-IN"/>
        </w:rPr>
        <w:t>o por el Administrador del Contrato). En el caso de trabajos realizados para el sector privado, el certificado deberá estar suscrito por el Gerente o Representante Legal de la entidad contratante</w:t>
      </w:r>
      <w:r>
        <w:rPr>
          <w:rFonts w:ascii="Arial" w:hAnsi="Arial" w:eastAsia="Times New Roman" w:cs="Arial"/>
          <w:i/>
          <w:spacing w:val="-3"/>
          <w:sz w:val="20"/>
          <w:lang w:val="es-ES" w:eastAsia="hi-IN" w:bidi="hi-IN"/>
        </w:rPr>
        <w:t>. Certificaciones o actas con relación de dependencia del sector público o privado, se valorará el 40% de monto certificado.</w:t>
      </w:r>
    </w:p>
    <w:p>
      <w:pPr>
        <w:tabs>
          <w:tab w:val="left" w:pos="-720"/>
        </w:tabs>
        <w:suppressAutoHyphens/>
        <w:spacing w:after="0" w:line="240" w:lineRule="auto"/>
        <w:jc w:val="both"/>
        <w:rPr>
          <w:rFonts w:ascii="Arial" w:hAnsi="Arial" w:eastAsia="Times New Roman" w:cs="Arial"/>
          <w:spacing w:val="-3"/>
          <w:sz w:val="20"/>
          <w:lang w:val="es-ES" w:eastAsia="hi-IN" w:bidi="hi-IN"/>
        </w:rPr>
      </w:pPr>
    </w:p>
    <w:p>
      <w:pPr>
        <w:numPr>
          <w:ilvl w:val="0"/>
          <w:numId w:val="6"/>
        </w:numPr>
        <w:tabs>
          <w:tab w:val="left" w:pos="-720"/>
        </w:tabs>
        <w:suppressAutoHyphens/>
        <w:spacing w:after="0" w:line="240" w:lineRule="auto"/>
        <w:jc w:val="both"/>
        <w:rPr>
          <w:rFonts w:ascii="Calibri" w:hAnsi="Calibri" w:eastAsia="Times New Roman" w:cs="Times New Roman"/>
          <w:szCs w:val="20"/>
          <w:lang w:eastAsia="hi-IN" w:bidi="hi-IN"/>
        </w:rPr>
      </w:pPr>
      <w:r>
        <w:rPr>
          <w:rFonts w:ascii="Arial" w:hAnsi="Arial" w:eastAsia="Times New Roman" w:cs="Arial"/>
          <w:spacing w:val="-3"/>
          <w:sz w:val="20"/>
          <w:lang w:val="es-ES" w:eastAsia="hi-IN" w:bidi="hi-IN"/>
        </w:rPr>
        <w:t>Si el profesional ha participado en calidad de</w:t>
      </w:r>
      <w:r>
        <w:rPr>
          <w:rFonts w:ascii="Arial" w:hAnsi="Arial" w:eastAsia="Arial Unicode MS" w:cs="Arial"/>
          <w:bCs/>
          <w:sz w:val="20"/>
          <w:lang w:val="es-ES" w:eastAsia="ar-SA"/>
        </w:rPr>
        <w:t xml:space="preserve"> Superintendente, Supervisor, Residente de obra y/o de Fiscalización, Jefe o Director Técnico </w:t>
      </w:r>
      <w:r>
        <w:rPr>
          <w:rFonts w:ascii="Arial" w:hAnsi="Arial" w:eastAsia="Times New Roman" w:cs="Arial"/>
          <w:spacing w:val="-3"/>
          <w:sz w:val="20"/>
          <w:lang w:val="es-ES" w:eastAsia="hi-IN" w:bidi="hi-IN"/>
        </w:rPr>
        <w:t xml:space="preserve">de </w:t>
      </w:r>
      <w:r>
        <w:rPr>
          <w:rFonts w:ascii="Arial" w:hAnsi="Arial" w:eastAsia="Times New Roman" w:cs="Arial"/>
          <w:b/>
          <w:spacing w:val="-3"/>
          <w:sz w:val="20"/>
          <w:lang w:val="es-ES" w:eastAsia="hi-IN" w:bidi="hi-IN"/>
        </w:rPr>
        <w:t>obras similares</w:t>
      </w:r>
      <w:r>
        <w:rPr>
          <w:rFonts w:ascii="Arial" w:hAnsi="Arial" w:eastAsia="Times New Roman" w:cs="Arial"/>
          <w:spacing w:val="-3"/>
          <w:sz w:val="20"/>
          <w:lang w:val="es-ES" w:eastAsia="hi-IN" w:bidi="hi-IN"/>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 xml:space="preserve">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eastAsia="Times New Roman" w:cs="Arial"/>
          <w:i/>
          <w:spacing w:val="-3"/>
          <w:sz w:val="20"/>
          <w:lang w:val="es-ES" w:eastAsia="hi-IN" w:bidi="hi-IN"/>
        </w:rPr>
        <w:t>Certificaciones o actas con relación de dependencia del sector público o privado, se valorará el 40% de monto certificado.</w:t>
      </w:r>
    </w:p>
    <w:p>
      <w:pPr>
        <w:tabs>
          <w:tab w:val="left" w:pos="-720"/>
        </w:tabs>
        <w:suppressAutoHyphens/>
        <w:spacing w:after="0" w:line="240" w:lineRule="auto"/>
        <w:ind w:left="720"/>
        <w:jc w:val="both"/>
        <w:rPr>
          <w:rFonts w:ascii="Calibri" w:hAnsi="Calibri" w:eastAsia="Times New Roman" w:cs="Times New Roman"/>
          <w:szCs w:val="20"/>
          <w:lang w:eastAsia="hi-IN" w:bidi="hi-IN"/>
        </w:rPr>
      </w:pPr>
    </w:p>
    <w:p>
      <w:pPr>
        <w:numPr>
          <w:ilvl w:val="0"/>
          <w:numId w:val="6"/>
        </w:numPr>
        <w:tabs>
          <w:tab w:val="left" w:pos="-720"/>
        </w:tabs>
        <w:suppressAutoHyphens/>
        <w:spacing w:after="0" w:line="240" w:lineRule="auto"/>
        <w:jc w:val="both"/>
        <w:rPr>
          <w:rFonts w:ascii="Calibri" w:hAnsi="Calibri" w:eastAsia="Times New Roman" w:cs="Times New Roman"/>
          <w:szCs w:val="20"/>
          <w:lang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En caso de que el Oferente, pretenda actuar ya sea como Superintendente o Residente de Obra deberá cumplir con lo exigido para cada uno de los cargos.</w:t>
      </w:r>
    </w:p>
    <w:p>
      <w:pPr>
        <w:tabs>
          <w:tab w:val="left" w:pos="-720"/>
        </w:tabs>
        <w:suppressAutoHyphens/>
        <w:spacing w:after="0" w:line="240" w:lineRule="auto"/>
        <w:jc w:val="both"/>
        <w:rPr>
          <w:rFonts w:ascii="Calibri" w:hAnsi="Calibri" w:eastAsia="Times New Roman" w:cs="Times New Roman"/>
          <w:szCs w:val="20"/>
          <w:lang w:val="es-ES" w:eastAsia="hi-IN" w:bidi="hi-IN"/>
        </w:rPr>
      </w:pPr>
    </w:p>
    <w:p>
      <w:pPr>
        <w:tabs>
          <w:tab w:val="left" w:pos="-720"/>
          <w:tab w:val="left" w:pos="851"/>
        </w:tabs>
        <w:suppressAutoHyphens/>
        <w:spacing w:after="0" w:line="240" w:lineRule="auto"/>
        <w:ind w:right="45"/>
        <w:jc w:val="both"/>
        <w:rPr>
          <w:rFonts w:ascii="Arial" w:hAnsi="Arial" w:eastAsia="Calibri" w:cs="Arial"/>
          <w:b/>
          <w:i/>
          <w:sz w:val="20"/>
          <w:lang w:eastAsia="ar-SA" w:bidi="hi-IN"/>
        </w:rPr>
      </w:pPr>
    </w:p>
    <w:p>
      <w:pPr>
        <w:tabs>
          <w:tab w:val="left" w:pos="-720"/>
          <w:tab w:val="left" w:pos="851"/>
        </w:tabs>
        <w:suppressAutoHyphens/>
        <w:spacing w:after="0" w:line="240" w:lineRule="auto"/>
        <w:ind w:right="45"/>
        <w:jc w:val="both"/>
        <w:rPr>
          <w:rFonts w:ascii="Arial" w:hAnsi="Arial" w:eastAsia="Calibri" w:cs="Arial"/>
          <w:b/>
          <w:i/>
          <w:sz w:val="20"/>
          <w:lang w:eastAsia="ar-SA" w:bidi="hi-IN"/>
        </w:rPr>
      </w:pPr>
    </w:p>
    <w:p>
      <w:pPr>
        <w:tabs>
          <w:tab w:val="left" w:pos="-720"/>
          <w:tab w:val="left" w:pos="851"/>
        </w:tabs>
        <w:suppressAutoHyphens/>
        <w:spacing w:after="0" w:line="240" w:lineRule="auto"/>
        <w:ind w:right="45"/>
        <w:jc w:val="both"/>
        <w:rPr>
          <w:rFonts w:ascii="Arial" w:hAnsi="Arial" w:eastAsia="Calibri" w:cs="Arial"/>
          <w:b/>
          <w:i/>
          <w:sz w:val="20"/>
          <w:lang w:eastAsia="ar-SA" w:bidi="hi-IN"/>
        </w:rPr>
      </w:pPr>
      <w:r>
        <w:rPr>
          <w:rFonts w:ascii="Arial" w:hAnsi="Arial" w:eastAsia="Calibri" w:cs="Arial"/>
          <w:b/>
          <w:i/>
          <w:sz w:val="20"/>
          <w:lang w:eastAsia="ar-SA" w:bidi="hi-IN"/>
        </w:rPr>
        <w:t>4.1.4.</w:t>
      </w:r>
      <w:r>
        <w:rPr>
          <w:rFonts w:ascii="Arial" w:hAnsi="Arial" w:eastAsia="Calibri" w:cs="Arial"/>
          <w:b/>
          <w:i/>
          <w:sz w:val="20"/>
          <w:lang w:eastAsia="ar-SA"/>
        </w:rPr>
        <w:t>3</w:t>
      </w:r>
      <w:r>
        <w:rPr>
          <w:rFonts w:ascii="Arial" w:hAnsi="Arial" w:eastAsia="Calibri" w:cs="Arial"/>
          <w:b/>
          <w:i/>
          <w:sz w:val="20"/>
          <w:lang w:eastAsia="ar-SA" w:bidi="hi-IN"/>
        </w:rPr>
        <w:tab/>
      </w:r>
      <w:r>
        <w:rPr>
          <w:rFonts w:ascii="Arial" w:hAnsi="Arial" w:eastAsia="Calibri" w:cs="Arial"/>
          <w:b/>
          <w:i/>
          <w:sz w:val="20"/>
          <w:lang w:eastAsia="ar-SA"/>
        </w:rPr>
        <w:t>Especialista Ambiental</w:t>
      </w:r>
    </w:p>
    <w:p>
      <w:pPr>
        <w:widowControl w:val="0"/>
        <w:suppressAutoHyphens/>
        <w:overflowPunct w:val="0"/>
        <w:autoSpaceDE w:val="0"/>
        <w:spacing w:after="0" w:line="240" w:lineRule="auto"/>
        <w:ind w:left="284" w:right="45"/>
        <w:jc w:val="both"/>
        <w:textAlignment w:val="baseline"/>
        <w:rPr>
          <w:rFonts w:ascii="Arial" w:hAnsi="Arial" w:eastAsia="Arial Unicode MS" w:cs="Arial"/>
          <w:bCs/>
          <w:sz w:val="20"/>
          <w:lang w:val="es-ES" w:eastAsia="ar-SA"/>
        </w:rPr>
      </w:pPr>
    </w:p>
    <w:p>
      <w:pPr>
        <w:widowControl w:val="0"/>
        <w:suppressAutoHyphens/>
        <w:overflowPunct w:val="0"/>
        <w:autoSpaceDE w:val="0"/>
        <w:spacing w:after="0" w:line="240" w:lineRule="auto"/>
        <w:ind w:right="45"/>
        <w:jc w:val="both"/>
        <w:textAlignment w:val="baseline"/>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Deberá ser Ingeniero Ambiental u otra profesión afín que cuente con especialidad o cuarto nivel en temas ambientales, registrado en el Senescyt y con licencia emitida por el Ministerio del Ambiente.</w:t>
      </w:r>
      <w:r>
        <w:rPr>
          <w:rFonts w:ascii="Arial" w:hAnsi="Arial" w:eastAsia="Arial Unicode MS" w:cs="Arial"/>
          <w:bCs/>
          <w:sz w:val="20"/>
          <w:lang w:val="es-ES" w:eastAsia="ar-SA"/>
        </w:rPr>
        <w:t xml:space="preserve"> Para este proyecto el Especialista Ambiental deberá acreditar como experiencia haber realizado actividades de control y mitigación ambiental en los últimos 5 años en al menos una obra de vialidad, en la cual haya participado por un mínimo de tres meses</w:t>
      </w:r>
      <w:r>
        <w:rPr>
          <w:rFonts w:ascii="Arial" w:hAnsi="Arial" w:eastAsia="Times New Roman" w:cs="Arial"/>
          <w:spacing w:val="-3"/>
          <w:sz w:val="20"/>
          <w:lang w:val="es-ES" w:eastAsia="hi-IN" w:bidi="hi-IN"/>
        </w:rPr>
        <w:t>.</w:t>
      </w:r>
    </w:p>
    <w:p>
      <w:pPr>
        <w:widowControl w:val="0"/>
        <w:suppressAutoHyphens/>
        <w:overflowPunct w:val="0"/>
        <w:autoSpaceDE w:val="0"/>
        <w:spacing w:after="0" w:line="240" w:lineRule="auto"/>
        <w:ind w:right="45"/>
        <w:jc w:val="both"/>
        <w:textAlignment w:val="baseline"/>
        <w:rPr>
          <w:rFonts w:ascii="Arial" w:hAnsi="Arial" w:eastAsia="Times New Roman" w:cs="Arial"/>
          <w:spacing w:val="-3"/>
          <w:sz w:val="20"/>
          <w:lang w:val="es-ES"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Serán válidos certificados o actas conferidas por autoridad competente. La experiencia se acreditará únicamente en obras concluidas.</w:t>
      </w: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b/>
          <w:bCs/>
          <w:spacing w:val="-3"/>
          <w:sz w:val="20"/>
          <w:lang w:val="es-ES" w:eastAsia="hi-IN" w:bidi="hi-IN"/>
        </w:rPr>
        <w:t xml:space="preserve">4.1.5 Patrimonio </w:t>
      </w:r>
      <w:r>
        <w:rPr>
          <w:rFonts w:ascii="Arial" w:hAnsi="Arial" w:eastAsia="Times New Roman" w:cs="Arial"/>
          <w:spacing w:val="-3"/>
          <w:sz w:val="20"/>
          <w:lang w:val="es-ES" w:eastAsia="hi-IN" w:bidi="hi-IN"/>
        </w:rPr>
        <w:t>(Aplicable a personas jurídicas)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En caso de personas jurídicas, la Entidad Contratante verificará que el patrimonio del Oferente sea igual o superior a la siguiente relación con respecto del presupuesto referencial del procedimiento de contratación conforme las regulaciones expedidas por el SERCOP.</w:t>
      </w:r>
    </w:p>
    <w:p>
      <w:pPr>
        <w:tabs>
          <w:tab w:val="left" w:pos="2227"/>
        </w:tabs>
        <w:suppressAutoHyphens/>
        <w:spacing w:after="0" w:line="240" w:lineRule="auto"/>
        <w:jc w:val="both"/>
        <w:rPr>
          <w:rFonts w:ascii="Arial" w:hAnsi="Arial" w:eastAsia="Times New Roman" w:cs="Arial"/>
          <w:sz w:val="20"/>
          <w:lang w:val="es-ES" w:eastAsia="hi-IN" w:bidi="hi-IN"/>
        </w:rPr>
      </w:pPr>
    </w:p>
    <w:p>
      <w:pPr>
        <w:spacing w:before="6" w:line="20" w:lineRule="exact"/>
        <w:ind w:right="28"/>
      </w:pPr>
    </w:p>
    <w:tbl>
      <w:tblPr>
        <w:tblStyle w:val="46"/>
        <w:tblW w:w="9092" w:type="dxa"/>
        <w:tblInd w:w="9" w:type="dxa"/>
        <w:tblLayout w:type="fixed"/>
        <w:tblCellMar>
          <w:top w:w="0" w:type="dxa"/>
          <w:left w:w="0" w:type="dxa"/>
          <w:bottom w:w="0" w:type="dxa"/>
          <w:right w:w="0" w:type="dxa"/>
        </w:tblCellMar>
      </w:tblPr>
      <w:tblGrid>
        <w:gridCol w:w="1958"/>
        <w:gridCol w:w="1445"/>
        <w:gridCol w:w="2299"/>
        <w:gridCol w:w="3390"/>
      </w:tblGrid>
      <w:tr>
        <w:tblPrEx>
          <w:tblLayout w:type="fixed"/>
          <w:tblCellMar>
            <w:top w:w="0" w:type="dxa"/>
            <w:left w:w="0" w:type="dxa"/>
            <w:bottom w:w="0" w:type="dxa"/>
            <w:right w:w="0" w:type="dxa"/>
          </w:tblCellMar>
        </w:tblPrEx>
        <w:trPr>
          <w:trHeight w:val="965" w:hRule="exact"/>
        </w:trPr>
        <w:tc>
          <w:tcPr>
            <w:tcW w:w="3403" w:type="dxa"/>
            <w:gridSpan w:val="2"/>
            <w:tcBorders>
              <w:top w:val="single" w:color="auto" w:sz="6" w:space="0"/>
              <w:left w:val="single" w:color="auto" w:sz="6" w:space="0"/>
              <w:bottom w:val="single" w:color="auto" w:sz="6" w:space="0"/>
              <w:right w:val="single" w:color="auto" w:sz="6" w:space="0"/>
            </w:tcBorders>
            <w:vAlign w:val="center"/>
          </w:tcPr>
          <w:p>
            <w:pPr>
              <w:spacing w:before="316" w:after="348" w:line="291" w:lineRule="exact"/>
              <w:ind w:left="168"/>
              <w:rPr>
                <w:rFonts w:ascii="Times" w:hAnsi="Times" w:cs="Times"/>
                <w:b/>
                <w:bCs/>
                <w:lang w:val="es-ES" w:eastAsia="es-ES"/>
              </w:rPr>
            </w:pPr>
            <w:r>
              <w:rPr>
                <w:rFonts w:ascii="Times" w:hAnsi="Times" w:cs="Times"/>
                <w:b/>
                <w:bCs/>
                <w:lang w:val="es-ES" w:eastAsia="es-ES"/>
              </w:rPr>
              <w:t>Presupuesto Referencial</w:t>
            </w:r>
          </w:p>
        </w:tc>
        <w:tc>
          <w:tcPr>
            <w:tcW w:w="5689" w:type="dxa"/>
            <w:gridSpan w:val="2"/>
            <w:tcBorders>
              <w:top w:val="single" w:color="auto" w:sz="6" w:space="0"/>
              <w:left w:val="single" w:color="auto" w:sz="6" w:space="0"/>
              <w:bottom w:val="single" w:color="auto" w:sz="6" w:space="0"/>
              <w:right w:val="single" w:color="auto" w:sz="6" w:space="0"/>
            </w:tcBorders>
            <w:vAlign w:val="center"/>
          </w:tcPr>
          <w:p>
            <w:pPr>
              <w:spacing w:before="316" w:after="348" w:line="291" w:lineRule="exact"/>
              <w:ind w:right="717"/>
              <w:jc w:val="right"/>
              <w:rPr>
                <w:rFonts w:ascii="Times" w:hAnsi="Times" w:cs="Times"/>
                <w:b/>
                <w:bCs/>
                <w:lang w:val="es-ES" w:eastAsia="es-ES"/>
              </w:rPr>
            </w:pPr>
            <w:r>
              <w:rPr>
                <w:rFonts w:ascii="Times" w:hAnsi="Times" w:cs="Times"/>
                <w:b/>
                <w:bCs/>
                <w:lang w:val="es-ES" w:eastAsia="es-ES"/>
              </w:rPr>
              <w:t>Monto que debe cumplirse de Patrimonio USD</w:t>
            </w:r>
          </w:p>
        </w:tc>
      </w:tr>
      <w:tr>
        <w:tblPrEx>
          <w:tblLayout w:type="fixed"/>
          <w:tblCellMar>
            <w:top w:w="0" w:type="dxa"/>
            <w:left w:w="0" w:type="dxa"/>
            <w:bottom w:w="0" w:type="dxa"/>
            <w:right w:w="0" w:type="dxa"/>
          </w:tblCellMar>
        </w:tblPrEx>
        <w:trPr>
          <w:trHeight w:val="969" w:hRule="exact"/>
        </w:trPr>
        <w:tc>
          <w:tcPr>
            <w:tcW w:w="1958" w:type="dxa"/>
            <w:tcBorders>
              <w:top w:val="single" w:color="auto" w:sz="6" w:space="0"/>
              <w:left w:val="single" w:color="auto" w:sz="6" w:space="0"/>
              <w:bottom w:val="single" w:color="auto" w:sz="6" w:space="0"/>
              <w:right w:val="single" w:color="auto" w:sz="6" w:space="0"/>
            </w:tcBorders>
          </w:tcPr>
          <w:p>
            <w:pPr>
              <w:spacing w:after="669" w:line="286" w:lineRule="exact"/>
              <w:ind w:left="168"/>
              <w:rPr>
                <w:rFonts w:ascii="Times" w:hAnsi="Times" w:cs="Times"/>
                <w:b/>
                <w:bCs/>
                <w:lang w:val="es-ES" w:eastAsia="es-ES"/>
              </w:rPr>
            </w:pPr>
            <w:r>
              <w:rPr>
                <w:rFonts w:ascii="Times" w:hAnsi="Times" w:cs="Times"/>
                <w:b/>
                <w:bCs/>
                <w:lang w:val="es-ES" w:eastAsia="es-ES"/>
              </w:rPr>
              <w:t>Fracción Básica</w:t>
            </w:r>
          </w:p>
        </w:tc>
        <w:tc>
          <w:tcPr>
            <w:tcW w:w="1445" w:type="dxa"/>
            <w:tcBorders>
              <w:top w:val="single" w:color="auto" w:sz="6" w:space="0"/>
              <w:left w:val="single" w:color="auto" w:sz="6" w:space="0"/>
              <w:bottom w:val="single" w:color="auto" w:sz="6" w:space="0"/>
              <w:right w:val="single" w:color="auto" w:sz="6" w:space="0"/>
            </w:tcBorders>
          </w:tcPr>
          <w:p>
            <w:pPr>
              <w:spacing w:after="669" w:line="286" w:lineRule="exact"/>
              <w:jc w:val="center"/>
              <w:rPr>
                <w:rFonts w:ascii="Times" w:hAnsi="Times" w:cs="Times"/>
                <w:b/>
                <w:bCs/>
                <w:lang w:val="es-ES" w:eastAsia="es-ES"/>
              </w:rPr>
            </w:pPr>
            <w:r>
              <w:rPr>
                <w:rFonts w:ascii="Times" w:hAnsi="Times" w:cs="Times"/>
                <w:b/>
                <w:bCs/>
                <w:lang w:val="es-ES" w:eastAsia="es-ES"/>
              </w:rPr>
              <w:t>Exceso hasta</w:t>
            </w:r>
          </w:p>
        </w:tc>
        <w:tc>
          <w:tcPr>
            <w:tcW w:w="2299" w:type="dxa"/>
            <w:tcBorders>
              <w:top w:val="single" w:color="auto" w:sz="6" w:space="0"/>
              <w:left w:val="single" w:color="auto" w:sz="6" w:space="0"/>
              <w:bottom w:val="single" w:color="auto" w:sz="6" w:space="0"/>
              <w:right w:val="single" w:color="auto" w:sz="6" w:space="0"/>
            </w:tcBorders>
          </w:tcPr>
          <w:p>
            <w:pPr>
              <w:spacing w:after="31" w:line="308" w:lineRule="exact"/>
              <w:jc w:val="center"/>
              <w:rPr>
                <w:rFonts w:ascii="Times" w:hAnsi="Times" w:cs="Times"/>
                <w:b/>
                <w:bCs/>
                <w:lang w:val="es-ES" w:eastAsia="es-ES"/>
              </w:rPr>
            </w:pPr>
            <w:r>
              <w:rPr>
                <w:rFonts w:ascii="Times" w:hAnsi="Times" w:cs="Times"/>
                <w:b/>
                <w:bCs/>
                <w:lang w:val="es-ES" w:eastAsia="es-ES"/>
              </w:rPr>
              <w:t>Patrimonio exigido</w:t>
            </w:r>
            <w:r>
              <w:rPr>
                <w:rFonts w:ascii="Times" w:hAnsi="Times" w:cs="Times"/>
                <w:b/>
                <w:bCs/>
                <w:lang w:val="es-ES" w:eastAsia="es-ES"/>
              </w:rPr>
              <w:br w:type="textWrapping"/>
            </w:r>
            <w:r>
              <w:rPr>
                <w:rFonts w:ascii="Times" w:hAnsi="Times" w:cs="Times"/>
                <w:b/>
                <w:bCs/>
                <w:lang w:val="es-ES" w:eastAsia="es-ES"/>
              </w:rPr>
              <w:t>sobre la fracción</w:t>
            </w:r>
            <w:r>
              <w:rPr>
                <w:rFonts w:ascii="Times" w:hAnsi="Times" w:cs="Times"/>
                <w:b/>
                <w:bCs/>
                <w:lang w:val="es-ES" w:eastAsia="es-ES"/>
              </w:rPr>
              <w:br w:type="textWrapping"/>
            </w:r>
            <w:r>
              <w:rPr>
                <w:rFonts w:ascii="Times" w:hAnsi="Times" w:cs="Times"/>
                <w:b/>
                <w:bCs/>
                <w:lang w:val="es-ES" w:eastAsia="es-ES"/>
              </w:rPr>
              <w:t>básica</w:t>
            </w:r>
          </w:p>
        </w:tc>
        <w:tc>
          <w:tcPr>
            <w:tcW w:w="3390" w:type="dxa"/>
            <w:tcBorders>
              <w:top w:val="single" w:color="auto" w:sz="6" w:space="0"/>
              <w:left w:val="single" w:color="auto" w:sz="6" w:space="0"/>
              <w:bottom w:val="single" w:color="auto" w:sz="6" w:space="0"/>
              <w:right w:val="single" w:color="auto" w:sz="6" w:space="0"/>
            </w:tcBorders>
          </w:tcPr>
          <w:p>
            <w:pPr>
              <w:spacing w:after="348" w:line="303" w:lineRule="exact"/>
              <w:jc w:val="center"/>
              <w:rPr>
                <w:rFonts w:ascii="Times" w:hAnsi="Times" w:cs="Times"/>
                <w:b/>
                <w:bCs/>
                <w:lang w:val="es-ES" w:eastAsia="es-ES"/>
              </w:rPr>
            </w:pPr>
            <w:r>
              <w:rPr>
                <w:rFonts w:ascii="Times" w:hAnsi="Times" w:cs="Times"/>
                <w:b/>
                <w:bCs/>
                <w:lang w:val="es-ES" w:eastAsia="es-ES"/>
              </w:rPr>
              <w:t>Patrimonio exigido sobre el</w:t>
            </w:r>
            <w:r>
              <w:rPr>
                <w:rFonts w:ascii="Times" w:hAnsi="Times" w:cs="Times"/>
                <w:b/>
                <w:bCs/>
                <w:lang w:val="es-ES" w:eastAsia="es-ES"/>
              </w:rPr>
              <w:br w:type="textWrapping"/>
            </w:r>
            <w:r>
              <w:rPr>
                <w:rFonts w:ascii="Times" w:hAnsi="Times" w:cs="Times"/>
                <w:b/>
                <w:bCs/>
                <w:lang w:val="es-ES" w:eastAsia="es-ES"/>
              </w:rPr>
              <w:t>excedente de la fracción básica</w:t>
            </w:r>
          </w:p>
        </w:tc>
      </w:tr>
      <w:tr>
        <w:tblPrEx>
          <w:tblLayout w:type="fixed"/>
          <w:tblCellMar>
            <w:top w:w="0" w:type="dxa"/>
            <w:left w:w="0" w:type="dxa"/>
            <w:bottom w:w="0" w:type="dxa"/>
            <w:right w:w="0" w:type="dxa"/>
          </w:tblCellMar>
        </w:tblPrEx>
        <w:trPr>
          <w:trHeight w:val="336" w:hRule="exact"/>
        </w:trPr>
        <w:tc>
          <w:tcPr>
            <w:tcW w:w="1958" w:type="dxa"/>
            <w:tcBorders>
              <w:top w:val="single" w:color="auto" w:sz="6" w:space="0"/>
              <w:left w:val="single" w:color="auto" w:sz="6" w:space="0"/>
              <w:bottom w:val="single" w:color="auto" w:sz="6" w:space="0"/>
              <w:right w:val="single" w:color="auto" w:sz="6" w:space="0"/>
            </w:tcBorders>
          </w:tcPr>
          <w:p>
            <w:pPr>
              <w:rPr>
                <w:rFonts w:ascii="Times" w:hAnsi="Times" w:cs="Times"/>
                <w:lang w:eastAsia="en-US"/>
              </w:rPr>
            </w:pPr>
          </w:p>
        </w:tc>
        <w:tc>
          <w:tcPr>
            <w:tcW w:w="7134" w:type="dxa"/>
            <w:gridSpan w:val="3"/>
            <w:tcBorders>
              <w:top w:val="single" w:color="auto" w:sz="6" w:space="0"/>
              <w:left w:val="single" w:color="auto" w:sz="6" w:space="0"/>
              <w:bottom w:val="single" w:color="auto" w:sz="6" w:space="0"/>
              <w:right w:val="single" w:color="auto" w:sz="6" w:space="0"/>
            </w:tcBorders>
            <w:vAlign w:val="center"/>
          </w:tcPr>
          <w:p>
            <w:pPr>
              <w:spacing w:after="31" w:line="291" w:lineRule="exact"/>
              <w:jc w:val="center"/>
              <w:rPr>
                <w:rFonts w:ascii="Times" w:hAnsi="Times" w:cs="Times"/>
                <w:b/>
                <w:bCs/>
                <w:lang w:val="es-ES" w:eastAsia="es-ES"/>
              </w:rPr>
            </w:pPr>
            <w:r>
              <w:rPr>
                <w:rFonts w:ascii="Times" w:hAnsi="Times" w:cs="Times"/>
                <w:b/>
                <w:bCs/>
                <w:lang w:val="es-ES" w:eastAsia="es-ES"/>
              </w:rPr>
              <w:t>CONSTRUCCIÓN DE OBRAS</w:t>
            </w:r>
          </w:p>
        </w:tc>
      </w:tr>
      <w:tr>
        <w:tblPrEx>
          <w:tblLayout w:type="fixed"/>
          <w:tblCellMar>
            <w:top w:w="0" w:type="dxa"/>
            <w:left w:w="0" w:type="dxa"/>
            <w:bottom w:w="0" w:type="dxa"/>
            <w:right w:w="0" w:type="dxa"/>
          </w:tblCellMar>
        </w:tblPrEx>
        <w:trPr>
          <w:trHeight w:val="658" w:hRule="exact"/>
        </w:trPr>
        <w:tc>
          <w:tcPr>
            <w:tcW w:w="1958" w:type="dxa"/>
            <w:tcBorders>
              <w:top w:val="single" w:color="auto" w:sz="6" w:space="0"/>
              <w:left w:val="single" w:color="auto" w:sz="6" w:space="0"/>
              <w:bottom w:val="single" w:color="auto" w:sz="6" w:space="0"/>
              <w:right w:val="single" w:color="auto" w:sz="6" w:space="0"/>
            </w:tcBorders>
          </w:tcPr>
          <w:p>
            <w:pPr>
              <w:spacing w:after="370" w:line="273" w:lineRule="exact"/>
              <w:jc w:val="center"/>
              <w:rPr>
                <w:rFonts w:ascii="Times" w:hAnsi="Times" w:cs="Times"/>
                <w:lang w:val="es-ES" w:eastAsia="es-ES"/>
              </w:rPr>
            </w:pPr>
            <w:r>
              <w:rPr>
                <w:rFonts w:ascii="Times" w:hAnsi="Times" w:cs="Times"/>
                <w:lang w:val="es-ES" w:eastAsia="es-ES"/>
              </w:rPr>
              <w:t>0</w:t>
            </w:r>
          </w:p>
        </w:tc>
        <w:tc>
          <w:tcPr>
            <w:tcW w:w="1445" w:type="dxa"/>
            <w:tcBorders>
              <w:top w:val="single" w:color="auto" w:sz="6" w:space="0"/>
              <w:left w:val="single" w:color="auto" w:sz="6" w:space="0"/>
              <w:bottom w:val="single" w:color="auto" w:sz="6" w:space="0"/>
              <w:right w:val="single" w:color="auto" w:sz="6" w:space="0"/>
            </w:tcBorders>
          </w:tcPr>
          <w:p>
            <w:pPr>
              <w:spacing w:after="54" w:line="297" w:lineRule="exact"/>
              <w:jc w:val="center"/>
              <w:rPr>
                <w:rFonts w:ascii="Times" w:hAnsi="Times" w:cs="Times"/>
                <w:lang w:val="es-ES" w:eastAsia="es-ES"/>
              </w:rPr>
            </w:pPr>
            <w:r>
              <w:rPr>
                <w:rFonts w:ascii="Times" w:hAnsi="Times" w:cs="Times"/>
                <w:lang w:val="es-ES" w:eastAsia="es-ES"/>
              </w:rPr>
              <w:t>200.000</w:t>
            </w:r>
            <w:r>
              <w:rPr>
                <w:rFonts w:ascii="Times" w:hAnsi="Times" w:cs="Times"/>
                <w:lang w:val="es-ES" w:eastAsia="es-ES"/>
              </w:rPr>
              <w:br w:type="textWrapping"/>
            </w:r>
            <w:r>
              <w:rPr>
                <w:rFonts w:ascii="Times" w:hAnsi="Times" w:cs="Times"/>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70" w:line="273" w:lineRule="exact"/>
              <w:jc w:val="center"/>
              <w:rPr>
                <w:rFonts w:ascii="Times" w:hAnsi="Times" w:cs="Times"/>
                <w:spacing w:val="-3"/>
                <w:lang w:val="es-ES" w:eastAsia="es-ES"/>
              </w:rPr>
            </w:pPr>
            <w:r>
              <w:rPr>
                <w:rFonts w:ascii="Times" w:hAnsi="Times" w:cs="Times"/>
                <w:spacing w:val="-3"/>
                <w:lang w:val="es-ES" w:eastAsia="es-ES"/>
              </w:rPr>
              <w:t>NO APLICA</w:t>
            </w:r>
          </w:p>
        </w:tc>
        <w:tc>
          <w:tcPr>
            <w:tcW w:w="3390" w:type="dxa"/>
            <w:tcBorders>
              <w:top w:val="single" w:color="auto" w:sz="6" w:space="0"/>
              <w:left w:val="single" w:color="auto" w:sz="6" w:space="0"/>
              <w:bottom w:val="single" w:color="auto" w:sz="6" w:space="0"/>
              <w:right w:val="single" w:color="auto" w:sz="6" w:space="0"/>
            </w:tcBorders>
          </w:tcPr>
          <w:p>
            <w:pPr>
              <w:rPr>
                <w:rFonts w:ascii="Times" w:hAnsi="Times" w:cs="Times"/>
                <w:lang w:eastAsia="en-US"/>
              </w:rPr>
            </w:pPr>
          </w:p>
        </w:tc>
      </w:tr>
      <w:tr>
        <w:tblPrEx>
          <w:tblLayout w:type="fixed"/>
          <w:tblCellMar>
            <w:top w:w="0" w:type="dxa"/>
            <w:left w:w="0" w:type="dxa"/>
            <w:bottom w:w="0" w:type="dxa"/>
            <w:right w:w="0" w:type="dxa"/>
          </w:tblCellMar>
        </w:tblPrEx>
        <w:trPr>
          <w:trHeight w:val="652" w:hRule="exact"/>
        </w:trPr>
        <w:tc>
          <w:tcPr>
            <w:tcW w:w="1958" w:type="dxa"/>
            <w:tcBorders>
              <w:top w:val="single" w:color="auto" w:sz="6" w:space="0"/>
              <w:left w:val="single" w:color="auto" w:sz="6" w:space="0"/>
              <w:bottom w:val="single" w:color="auto" w:sz="6" w:space="0"/>
              <w:right w:val="single" w:color="auto" w:sz="6" w:space="0"/>
            </w:tcBorders>
          </w:tcPr>
          <w:p>
            <w:pPr>
              <w:spacing w:after="366" w:line="272" w:lineRule="exact"/>
              <w:jc w:val="center"/>
              <w:rPr>
                <w:rFonts w:ascii="Times" w:hAnsi="Times" w:cs="Times"/>
                <w:spacing w:val="-3"/>
                <w:lang w:val="es-ES" w:eastAsia="es-ES"/>
              </w:rPr>
            </w:pPr>
            <w:r>
              <w:rPr>
                <w:rFonts w:ascii="Times" w:hAnsi="Times" w:cs="Times"/>
                <w:spacing w:val="-3"/>
                <w:lang w:val="es-ES" w:eastAsia="es-ES"/>
              </w:rPr>
              <w:t>200.000,01</w:t>
            </w:r>
          </w:p>
        </w:tc>
        <w:tc>
          <w:tcPr>
            <w:tcW w:w="1445" w:type="dxa"/>
            <w:tcBorders>
              <w:top w:val="single" w:color="auto" w:sz="6" w:space="0"/>
              <w:left w:val="single" w:color="auto" w:sz="6" w:space="0"/>
              <w:bottom w:val="single" w:color="auto" w:sz="6" w:space="0"/>
              <w:right w:val="single" w:color="auto" w:sz="6" w:space="0"/>
            </w:tcBorders>
          </w:tcPr>
          <w:p>
            <w:pPr>
              <w:spacing w:after="49" w:line="294" w:lineRule="exact"/>
              <w:jc w:val="center"/>
              <w:rPr>
                <w:rFonts w:ascii="Times" w:hAnsi="Times" w:cs="Times"/>
                <w:lang w:val="es-ES" w:eastAsia="es-ES"/>
              </w:rPr>
            </w:pPr>
            <w:r>
              <w:rPr>
                <w:rFonts w:ascii="Times" w:hAnsi="Times" w:cs="Times"/>
                <w:lang w:val="es-ES" w:eastAsia="es-ES"/>
              </w:rPr>
              <w:t>500.000</w:t>
            </w:r>
            <w:r>
              <w:rPr>
                <w:rFonts w:ascii="Times" w:hAnsi="Times" w:cs="Times"/>
                <w:lang w:val="es-ES" w:eastAsia="es-ES"/>
              </w:rPr>
              <w:br w:type="textWrapping"/>
            </w:r>
            <w:r>
              <w:rPr>
                <w:rFonts w:ascii="Times" w:hAnsi="Times" w:cs="Times"/>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66" w:line="272" w:lineRule="exact"/>
              <w:ind w:right="807"/>
              <w:jc w:val="right"/>
              <w:rPr>
                <w:rFonts w:ascii="Times" w:hAnsi="Times" w:cs="Times"/>
                <w:spacing w:val="-1"/>
                <w:lang w:val="es-ES" w:eastAsia="es-ES"/>
              </w:rPr>
            </w:pPr>
            <w:r>
              <w:rPr>
                <w:rFonts w:ascii="Times" w:hAnsi="Times" w:cs="Times"/>
                <w:spacing w:val="-1"/>
                <w:lang w:val="es-ES" w:eastAsia="es-ES"/>
              </w:rPr>
              <w:t>3.000</w:t>
            </w:r>
          </w:p>
        </w:tc>
        <w:tc>
          <w:tcPr>
            <w:tcW w:w="3390" w:type="dxa"/>
            <w:tcBorders>
              <w:top w:val="single" w:color="auto" w:sz="6" w:space="0"/>
              <w:left w:val="single" w:color="auto" w:sz="6" w:space="0"/>
              <w:bottom w:val="single" w:color="auto" w:sz="6" w:space="0"/>
              <w:right w:val="single" w:color="auto" w:sz="6" w:space="0"/>
            </w:tcBorders>
          </w:tcPr>
          <w:p>
            <w:pPr>
              <w:spacing w:after="49" w:line="294" w:lineRule="exact"/>
              <w:jc w:val="center"/>
              <w:rPr>
                <w:rFonts w:ascii="Times" w:hAnsi="Times" w:cs="Times"/>
                <w:lang w:val="es-ES" w:eastAsia="es-ES"/>
              </w:rPr>
            </w:pPr>
            <w:r>
              <w:rPr>
                <w:rFonts w:ascii="Times" w:hAnsi="Times" w:cs="Times"/>
                <w:lang w:val="es-ES" w:eastAsia="es-ES"/>
              </w:rPr>
              <w:t>5% sobre el exceso de la</w:t>
            </w:r>
            <w:r>
              <w:rPr>
                <w:rFonts w:ascii="Times" w:hAnsi="Times" w:cs="Times"/>
                <w:lang w:val="es-ES" w:eastAsia="es-ES"/>
              </w:rPr>
              <w:br w:type="textWrapping"/>
            </w:r>
            <w:r>
              <w:rPr>
                <w:rFonts w:ascii="Times" w:hAnsi="Times" w:cs="Times"/>
                <w:lang w:val="es-ES" w:eastAsia="es-ES"/>
              </w:rPr>
              <w:t>fracción básica</w:t>
            </w:r>
          </w:p>
        </w:tc>
      </w:tr>
      <w:tr>
        <w:tblPrEx>
          <w:tblLayout w:type="fixed"/>
          <w:tblCellMar>
            <w:top w:w="0" w:type="dxa"/>
            <w:left w:w="0" w:type="dxa"/>
            <w:bottom w:w="0" w:type="dxa"/>
            <w:right w:w="0" w:type="dxa"/>
          </w:tblCellMar>
        </w:tblPrEx>
        <w:trPr>
          <w:trHeight w:val="658" w:hRule="exact"/>
        </w:trPr>
        <w:tc>
          <w:tcPr>
            <w:tcW w:w="1958" w:type="dxa"/>
            <w:tcBorders>
              <w:top w:val="single" w:color="auto" w:sz="6" w:space="0"/>
              <w:left w:val="single" w:color="auto" w:sz="6" w:space="0"/>
              <w:bottom w:val="single" w:color="auto" w:sz="6" w:space="0"/>
              <w:right w:val="single" w:color="auto" w:sz="6" w:space="0"/>
            </w:tcBorders>
          </w:tcPr>
          <w:p>
            <w:pPr>
              <w:spacing w:after="375" w:line="273" w:lineRule="exact"/>
              <w:jc w:val="center"/>
              <w:rPr>
                <w:rFonts w:ascii="Times" w:hAnsi="Times" w:cs="Times"/>
                <w:spacing w:val="-3"/>
                <w:lang w:val="es-ES" w:eastAsia="es-ES"/>
              </w:rPr>
            </w:pPr>
            <w:r>
              <w:rPr>
                <w:rFonts w:ascii="Times" w:hAnsi="Times" w:cs="Times"/>
                <w:spacing w:val="-3"/>
                <w:lang w:val="es-ES" w:eastAsia="es-ES"/>
              </w:rPr>
              <w:t>500.000,01</w:t>
            </w:r>
          </w:p>
        </w:tc>
        <w:tc>
          <w:tcPr>
            <w:tcW w:w="1445" w:type="dxa"/>
            <w:tcBorders>
              <w:top w:val="single" w:color="auto" w:sz="6" w:space="0"/>
              <w:left w:val="single" w:color="auto" w:sz="6" w:space="0"/>
              <w:bottom w:val="single" w:color="auto" w:sz="6" w:space="0"/>
              <w:right w:val="single" w:color="auto" w:sz="6" w:space="0"/>
            </w:tcBorders>
          </w:tcPr>
          <w:p>
            <w:pPr>
              <w:spacing w:after="58" w:line="295" w:lineRule="exact"/>
              <w:jc w:val="center"/>
              <w:rPr>
                <w:rFonts w:ascii="Times" w:hAnsi="Times" w:cs="Times"/>
                <w:lang w:val="es-ES" w:eastAsia="es-ES"/>
              </w:rPr>
            </w:pPr>
            <w:r>
              <w:rPr>
                <w:rFonts w:ascii="Times" w:hAnsi="Times" w:cs="Times"/>
                <w:lang w:val="es-ES" w:eastAsia="es-ES"/>
              </w:rPr>
              <w:t>1´000.000</w:t>
            </w:r>
            <w:r>
              <w:rPr>
                <w:rFonts w:ascii="Times" w:hAnsi="Times" w:cs="Times"/>
                <w:lang w:val="es-ES" w:eastAsia="es-ES"/>
              </w:rPr>
              <w:br w:type="textWrapping"/>
            </w:r>
            <w:r>
              <w:rPr>
                <w:rFonts w:ascii="Times" w:hAnsi="Times" w:cs="Times"/>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75" w:line="273" w:lineRule="exact"/>
              <w:ind w:right="807"/>
              <w:jc w:val="right"/>
              <w:rPr>
                <w:rFonts w:ascii="Times" w:hAnsi="Times" w:cs="Times"/>
                <w:spacing w:val="-2"/>
                <w:lang w:val="es-ES" w:eastAsia="es-ES"/>
              </w:rPr>
            </w:pPr>
            <w:r>
              <w:rPr>
                <w:rFonts w:ascii="Times" w:hAnsi="Times" w:cs="Times"/>
                <w:spacing w:val="-2"/>
                <w:lang w:val="es-ES" w:eastAsia="es-ES"/>
              </w:rPr>
              <w:t>15.000</w:t>
            </w:r>
          </w:p>
        </w:tc>
        <w:tc>
          <w:tcPr>
            <w:tcW w:w="3390" w:type="dxa"/>
            <w:tcBorders>
              <w:top w:val="single" w:color="auto" w:sz="6" w:space="0"/>
              <w:left w:val="single" w:color="auto" w:sz="6" w:space="0"/>
              <w:bottom w:val="single" w:color="auto" w:sz="6" w:space="0"/>
              <w:right w:val="single" w:color="auto" w:sz="6" w:space="0"/>
            </w:tcBorders>
          </w:tcPr>
          <w:p>
            <w:pPr>
              <w:spacing w:after="58" w:line="295" w:lineRule="exact"/>
              <w:jc w:val="center"/>
              <w:rPr>
                <w:rFonts w:ascii="Times" w:hAnsi="Times" w:cs="Times"/>
                <w:lang w:val="es-ES" w:eastAsia="es-ES"/>
              </w:rPr>
            </w:pPr>
            <w:r>
              <w:rPr>
                <w:rFonts w:ascii="Times" w:hAnsi="Times" w:cs="Times"/>
                <w:lang w:val="es-ES" w:eastAsia="es-ES"/>
              </w:rPr>
              <w:t>10 % sobre el exceso de la</w:t>
            </w:r>
            <w:r>
              <w:rPr>
                <w:rFonts w:ascii="Times" w:hAnsi="Times" w:cs="Times"/>
                <w:lang w:val="es-ES" w:eastAsia="es-ES"/>
              </w:rPr>
              <w:br w:type="textWrapping"/>
            </w:r>
            <w:r>
              <w:rPr>
                <w:rFonts w:ascii="Times" w:hAnsi="Times" w:cs="Times"/>
                <w:lang w:val="es-ES" w:eastAsia="es-ES"/>
              </w:rPr>
              <w:t>fracción básica</w:t>
            </w:r>
          </w:p>
        </w:tc>
      </w:tr>
      <w:tr>
        <w:tblPrEx>
          <w:tblLayout w:type="fixed"/>
          <w:tblCellMar>
            <w:top w:w="0" w:type="dxa"/>
            <w:left w:w="0" w:type="dxa"/>
            <w:bottom w:w="0" w:type="dxa"/>
            <w:right w:w="0" w:type="dxa"/>
          </w:tblCellMar>
        </w:tblPrEx>
        <w:trPr>
          <w:trHeight w:val="653" w:hRule="exact"/>
        </w:trPr>
        <w:tc>
          <w:tcPr>
            <w:tcW w:w="1958" w:type="dxa"/>
            <w:tcBorders>
              <w:top w:val="single" w:color="auto" w:sz="6" w:space="0"/>
              <w:left w:val="single" w:color="auto" w:sz="6" w:space="0"/>
              <w:bottom w:val="single" w:color="auto" w:sz="6" w:space="0"/>
              <w:right w:val="single" w:color="auto" w:sz="6" w:space="0"/>
            </w:tcBorders>
          </w:tcPr>
          <w:p>
            <w:pPr>
              <w:spacing w:after="365" w:line="273" w:lineRule="exact"/>
              <w:jc w:val="center"/>
              <w:rPr>
                <w:rFonts w:ascii="Times" w:hAnsi="Times" w:cs="Times"/>
                <w:spacing w:val="-4"/>
                <w:lang w:val="es-ES" w:eastAsia="es-ES"/>
              </w:rPr>
            </w:pPr>
            <w:r>
              <w:rPr>
                <w:rFonts w:ascii="Times" w:hAnsi="Times" w:cs="Times"/>
                <w:spacing w:val="-4"/>
                <w:lang w:val="es-ES" w:eastAsia="es-ES"/>
              </w:rPr>
              <w:t>1´000.000,01</w:t>
            </w:r>
          </w:p>
        </w:tc>
        <w:tc>
          <w:tcPr>
            <w:tcW w:w="1445" w:type="dxa"/>
            <w:tcBorders>
              <w:top w:val="single" w:color="auto" w:sz="6" w:space="0"/>
              <w:left w:val="single" w:color="auto" w:sz="6" w:space="0"/>
              <w:bottom w:val="single" w:color="auto" w:sz="6" w:space="0"/>
              <w:right w:val="single" w:color="auto" w:sz="6" w:space="0"/>
            </w:tcBorders>
          </w:tcPr>
          <w:p>
            <w:pPr>
              <w:spacing w:after="48" w:line="295" w:lineRule="exact"/>
              <w:jc w:val="center"/>
              <w:rPr>
                <w:rFonts w:ascii="Times" w:hAnsi="Times" w:cs="Times"/>
                <w:lang w:val="es-ES" w:eastAsia="es-ES"/>
              </w:rPr>
            </w:pPr>
            <w:r>
              <w:rPr>
                <w:rFonts w:ascii="Times" w:hAnsi="Times" w:cs="Times"/>
                <w:lang w:val="es-ES" w:eastAsia="es-ES"/>
              </w:rPr>
              <w:t>5´000.000</w:t>
            </w:r>
            <w:r>
              <w:rPr>
                <w:rFonts w:ascii="Times" w:hAnsi="Times" w:cs="Times"/>
                <w:lang w:val="es-ES" w:eastAsia="es-ES"/>
              </w:rPr>
              <w:br w:type="textWrapping"/>
            </w:r>
            <w:r>
              <w:rPr>
                <w:rFonts w:ascii="Times" w:hAnsi="Times" w:cs="Times"/>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65" w:line="273" w:lineRule="exact"/>
              <w:ind w:right="807"/>
              <w:jc w:val="right"/>
              <w:rPr>
                <w:rFonts w:ascii="Times" w:hAnsi="Times" w:cs="Times"/>
                <w:lang w:val="es-ES" w:eastAsia="es-ES"/>
              </w:rPr>
            </w:pPr>
            <w:r>
              <w:rPr>
                <w:rFonts w:ascii="Times" w:hAnsi="Times" w:cs="Times"/>
                <w:lang w:val="es-ES" w:eastAsia="es-ES"/>
              </w:rPr>
              <w:t>75.000</w:t>
            </w:r>
          </w:p>
        </w:tc>
        <w:tc>
          <w:tcPr>
            <w:tcW w:w="3390" w:type="dxa"/>
            <w:tcBorders>
              <w:top w:val="single" w:color="auto" w:sz="6" w:space="0"/>
              <w:left w:val="single" w:color="auto" w:sz="6" w:space="0"/>
              <w:bottom w:val="single" w:color="auto" w:sz="6" w:space="0"/>
              <w:right w:val="single" w:color="auto" w:sz="6" w:space="0"/>
            </w:tcBorders>
          </w:tcPr>
          <w:p>
            <w:pPr>
              <w:spacing w:after="48" w:line="295" w:lineRule="exact"/>
              <w:jc w:val="center"/>
              <w:rPr>
                <w:rFonts w:ascii="Times" w:hAnsi="Times" w:cs="Times"/>
                <w:lang w:val="es-ES" w:eastAsia="es-ES"/>
              </w:rPr>
            </w:pPr>
            <w:r>
              <w:rPr>
                <w:rFonts w:ascii="Times" w:hAnsi="Times" w:cs="Times"/>
                <w:lang w:val="es-ES" w:eastAsia="es-ES"/>
              </w:rPr>
              <w:t>12,5% sobre el exceso de la</w:t>
            </w:r>
            <w:r>
              <w:rPr>
                <w:rFonts w:ascii="Times" w:hAnsi="Times" w:cs="Times"/>
                <w:lang w:val="es-ES" w:eastAsia="es-ES"/>
              </w:rPr>
              <w:br w:type="textWrapping"/>
            </w:r>
            <w:r>
              <w:rPr>
                <w:rFonts w:ascii="Times" w:hAnsi="Times" w:cs="Times"/>
                <w:lang w:val="es-ES" w:eastAsia="es-ES"/>
              </w:rPr>
              <w:t>fracción básica</w:t>
            </w:r>
          </w:p>
        </w:tc>
      </w:tr>
      <w:tr>
        <w:tblPrEx>
          <w:tblLayout w:type="fixed"/>
          <w:tblCellMar>
            <w:top w:w="0" w:type="dxa"/>
            <w:left w:w="0" w:type="dxa"/>
            <w:bottom w:w="0" w:type="dxa"/>
            <w:right w:w="0" w:type="dxa"/>
          </w:tblCellMar>
        </w:tblPrEx>
        <w:trPr>
          <w:trHeight w:val="653" w:hRule="exact"/>
        </w:trPr>
        <w:tc>
          <w:tcPr>
            <w:tcW w:w="1958" w:type="dxa"/>
            <w:tcBorders>
              <w:top w:val="single" w:color="auto" w:sz="6" w:space="0"/>
              <w:left w:val="single" w:color="auto" w:sz="6" w:space="0"/>
              <w:bottom w:val="single" w:color="auto" w:sz="6" w:space="0"/>
              <w:right w:val="single" w:color="auto" w:sz="6" w:space="0"/>
            </w:tcBorders>
          </w:tcPr>
          <w:p>
            <w:pPr>
              <w:spacing w:after="375" w:line="273" w:lineRule="exact"/>
              <w:jc w:val="center"/>
              <w:rPr>
                <w:rFonts w:ascii="Times" w:hAnsi="Times" w:cs="Times"/>
                <w:spacing w:val="-3"/>
                <w:lang w:val="es-ES" w:eastAsia="es-ES"/>
              </w:rPr>
            </w:pPr>
            <w:r>
              <w:rPr>
                <w:rFonts w:ascii="Times" w:hAnsi="Times" w:cs="Times"/>
                <w:spacing w:val="-3"/>
                <w:lang w:val="es-ES" w:eastAsia="es-ES"/>
              </w:rPr>
              <w:t>5´000.000,01</w:t>
            </w:r>
          </w:p>
        </w:tc>
        <w:tc>
          <w:tcPr>
            <w:tcW w:w="1445" w:type="dxa"/>
            <w:tcBorders>
              <w:top w:val="single" w:color="auto" w:sz="6" w:space="0"/>
              <w:left w:val="single" w:color="auto" w:sz="6" w:space="0"/>
              <w:bottom w:val="single" w:color="auto" w:sz="6" w:space="0"/>
              <w:right w:val="single" w:color="auto" w:sz="6" w:space="0"/>
            </w:tcBorders>
          </w:tcPr>
          <w:p>
            <w:pPr>
              <w:spacing w:after="59" w:line="294" w:lineRule="exact"/>
              <w:jc w:val="center"/>
              <w:rPr>
                <w:rFonts w:ascii="Times" w:hAnsi="Times" w:cs="Times"/>
                <w:lang w:val="es-ES" w:eastAsia="es-ES"/>
              </w:rPr>
            </w:pPr>
            <w:r>
              <w:rPr>
                <w:rFonts w:ascii="Times" w:hAnsi="Times" w:cs="Times"/>
                <w:lang w:val="es-ES" w:eastAsia="es-ES"/>
              </w:rPr>
              <w:t>10´000.000</w:t>
            </w:r>
            <w:r>
              <w:rPr>
                <w:rFonts w:ascii="Times" w:hAnsi="Times" w:cs="Times"/>
                <w:lang w:val="es-ES" w:eastAsia="es-ES"/>
              </w:rPr>
              <w:br w:type="textWrapping"/>
            </w:r>
            <w:r>
              <w:rPr>
                <w:rFonts w:ascii="Times" w:hAnsi="Times" w:cs="Times"/>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75" w:line="273" w:lineRule="exact"/>
              <w:ind w:right="717"/>
              <w:jc w:val="right"/>
              <w:rPr>
                <w:rFonts w:ascii="Times" w:hAnsi="Times" w:cs="Times"/>
                <w:spacing w:val="-1"/>
                <w:lang w:val="es-ES" w:eastAsia="es-ES"/>
              </w:rPr>
            </w:pPr>
            <w:r>
              <w:rPr>
                <w:rFonts w:ascii="Times" w:hAnsi="Times" w:cs="Times"/>
                <w:spacing w:val="-1"/>
                <w:lang w:val="es-ES" w:eastAsia="es-ES"/>
              </w:rPr>
              <w:t>625.000</w:t>
            </w:r>
          </w:p>
        </w:tc>
        <w:tc>
          <w:tcPr>
            <w:tcW w:w="3390" w:type="dxa"/>
            <w:tcBorders>
              <w:top w:val="single" w:color="auto" w:sz="6" w:space="0"/>
              <w:left w:val="single" w:color="auto" w:sz="6" w:space="0"/>
              <w:bottom w:val="single" w:color="auto" w:sz="6" w:space="0"/>
              <w:right w:val="single" w:color="auto" w:sz="6" w:space="0"/>
            </w:tcBorders>
          </w:tcPr>
          <w:p>
            <w:pPr>
              <w:spacing w:after="59" w:line="294" w:lineRule="exact"/>
              <w:jc w:val="center"/>
              <w:rPr>
                <w:rFonts w:ascii="Times" w:hAnsi="Times" w:cs="Times"/>
                <w:lang w:val="es-ES" w:eastAsia="es-ES"/>
              </w:rPr>
            </w:pPr>
            <w:r>
              <w:rPr>
                <w:rFonts w:ascii="Times" w:hAnsi="Times" w:cs="Times"/>
                <w:lang w:val="es-ES" w:eastAsia="es-ES"/>
              </w:rPr>
              <w:t>15% sobre el exceso de la</w:t>
            </w:r>
            <w:r>
              <w:rPr>
                <w:rFonts w:ascii="Times" w:hAnsi="Times" w:cs="Times"/>
                <w:lang w:val="es-ES" w:eastAsia="es-ES"/>
              </w:rPr>
              <w:br w:type="textWrapping"/>
            </w:r>
            <w:r>
              <w:rPr>
                <w:rFonts w:ascii="Times" w:hAnsi="Times" w:cs="Times"/>
                <w:lang w:val="es-ES" w:eastAsia="es-ES"/>
              </w:rPr>
              <w:t>fracción básica</w:t>
            </w:r>
          </w:p>
        </w:tc>
      </w:tr>
      <w:tr>
        <w:tblPrEx>
          <w:tblLayout w:type="fixed"/>
          <w:tblCellMar>
            <w:top w:w="0" w:type="dxa"/>
            <w:left w:w="0" w:type="dxa"/>
            <w:bottom w:w="0" w:type="dxa"/>
            <w:right w:w="0" w:type="dxa"/>
          </w:tblCellMar>
        </w:tblPrEx>
        <w:trPr>
          <w:trHeight w:val="667" w:hRule="exact"/>
        </w:trPr>
        <w:tc>
          <w:tcPr>
            <w:tcW w:w="1958" w:type="dxa"/>
            <w:tcBorders>
              <w:top w:val="single" w:color="auto" w:sz="6" w:space="0"/>
              <w:left w:val="single" w:color="auto" w:sz="6" w:space="0"/>
              <w:bottom w:val="single" w:color="auto" w:sz="6" w:space="0"/>
              <w:right w:val="single" w:color="auto" w:sz="6" w:space="0"/>
            </w:tcBorders>
          </w:tcPr>
          <w:p>
            <w:pPr>
              <w:spacing w:after="63" w:line="297" w:lineRule="exact"/>
              <w:jc w:val="center"/>
              <w:rPr>
                <w:rFonts w:ascii="Times" w:hAnsi="Times" w:cs="Times"/>
                <w:lang w:val="es-ES" w:eastAsia="es-ES"/>
              </w:rPr>
            </w:pPr>
            <w:r>
              <w:rPr>
                <w:rFonts w:ascii="Times" w:hAnsi="Times" w:cs="Times"/>
                <w:lang w:val="es-ES" w:eastAsia="es-ES"/>
              </w:rPr>
              <w:t>10´ 000.000,01</w:t>
            </w:r>
            <w:r>
              <w:rPr>
                <w:rFonts w:ascii="Times" w:hAnsi="Times" w:cs="Times"/>
                <w:lang w:val="es-ES" w:eastAsia="es-ES"/>
              </w:rPr>
              <w:br w:type="textWrapping"/>
            </w:r>
            <w:r>
              <w:rPr>
                <w:rFonts w:ascii="Times" w:hAnsi="Times" w:cs="Times"/>
                <w:lang w:val="es-ES" w:eastAsia="es-ES"/>
              </w:rPr>
              <w:t>en adelante</w:t>
            </w:r>
          </w:p>
        </w:tc>
        <w:tc>
          <w:tcPr>
            <w:tcW w:w="1445" w:type="dxa"/>
            <w:tcBorders>
              <w:top w:val="single" w:color="auto" w:sz="6" w:space="0"/>
              <w:left w:val="single" w:color="auto" w:sz="6" w:space="0"/>
              <w:bottom w:val="single" w:color="auto" w:sz="6" w:space="0"/>
              <w:right w:val="single" w:color="auto" w:sz="6" w:space="0"/>
            </w:tcBorders>
          </w:tcPr>
          <w:p>
            <w:pPr>
              <w:spacing w:after="380" w:line="273" w:lineRule="exact"/>
              <w:jc w:val="center"/>
              <w:rPr>
                <w:rFonts w:ascii="Times" w:hAnsi="Times" w:cs="Times"/>
                <w:lang w:val="es-ES" w:eastAsia="es-ES"/>
              </w:rPr>
            </w:pPr>
            <w:r>
              <w:rPr>
                <w:rFonts w:ascii="Times" w:hAnsi="Times" w:cs="Times"/>
                <w:lang w:val="es-ES" w:eastAsia="es-ES"/>
              </w:rPr>
              <w:t>En adelante</w:t>
            </w:r>
          </w:p>
        </w:tc>
        <w:tc>
          <w:tcPr>
            <w:tcW w:w="2299" w:type="dxa"/>
            <w:tcBorders>
              <w:top w:val="single" w:color="auto" w:sz="6" w:space="0"/>
              <w:left w:val="single" w:color="auto" w:sz="6" w:space="0"/>
              <w:bottom w:val="single" w:color="auto" w:sz="6" w:space="0"/>
              <w:right w:val="single" w:color="auto" w:sz="6" w:space="0"/>
            </w:tcBorders>
          </w:tcPr>
          <w:p>
            <w:pPr>
              <w:spacing w:after="367" w:line="286" w:lineRule="exact"/>
              <w:ind w:right="627"/>
              <w:jc w:val="right"/>
              <w:rPr>
                <w:rFonts w:ascii="Times" w:hAnsi="Times" w:cs="Times"/>
                <w:spacing w:val="-2"/>
                <w:lang w:val="es-ES" w:eastAsia="es-ES"/>
              </w:rPr>
            </w:pPr>
            <w:r>
              <w:rPr>
                <w:rFonts w:ascii="Times" w:hAnsi="Times" w:cs="Times"/>
                <w:spacing w:val="-2"/>
                <w:lang w:val="es-ES" w:eastAsia="es-ES"/>
              </w:rPr>
              <w:t>1’500.000</w:t>
            </w:r>
          </w:p>
        </w:tc>
        <w:tc>
          <w:tcPr>
            <w:tcW w:w="3390" w:type="dxa"/>
            <w:tcBorders>
              <w:top w:val="single" w:color="auto" w:sz="6" w:space="0"/>
              <w:left w:val="single" w:color="auto" w:sz="6" w:space="0"/>
              <w:bottom w:val="single" w:color="auto" w:sz="6" w:space="0"/>
              <w:right w:val="single" w:color="auto" w:sz="6" w:space="0"/>
            </w:tcBorders>
          </w:tcPr>
          <w:p>
            <w:pPr>
              <w:spacing w:after="63" w:line="297" w:lineRule="exact"/>
              <w:jc w:val="center"/>
              <w:rPr>
                <w:rFonts w:ascii="Times" w:hAnsi="Times" w:cs="Times"/>
                <w:lang w:val="es-ES" w:eastAsia="es-ES"/>
              </w:rPr>
            </w:pPr>
            <w:r>
              <w:rPr>
                <w:rFonts w:ascii="Times" w:hAnsi="Times" w:cs="Times"/>
                <w:lang w:val="es-ES" w:eastAsia="es-ES"/>
              </w:rPr>
              <w:t>17,5% sobre el exceso de la</w:t>
            </w:r>
            <w:r>
              <w:rPr>
                <w:rFonts w:ascii="Times" w:hAnsi="Times" w:cs="Times"/>
                <w:lang w:val="es-ES" w:eastAsia="es-ES"/>
              </w:rPr>
              <w:br w:type="textWrapping"/>
            </w:r>
            <w:r>
              <w:rPr>
                <w:rFonts w:ascii="Times" w:hAnsi="Times" w:cs="Times"/>
                <w:lang w:val="es-ES" w:eastAsia="es-ES"/>
              </w:rPr>
              <w:t>fracción básica</w:t>
            </w:r>
          </w:p>
        </w:tc>
      </w:tr>
    </w:tbl>
    <w:p>
      <w:pPr>
        <w:spacing w:after="259" w:line="20" w:lineRule="exact"/>
        <w:ind w:right="28"/>
      </w:pPr>
    </w:p>
    <w:p>
      <w:pPr>
        <w:spacing w:line="240" w:lineRule="auto"/>
        <w:ind w:left="72" w:right="72"/>
        <w:jc w:val="both"/>
        <w:rPr>
          <w:rFonts w:ascii="Times" w:hAnsi="Times" w:cs="Times"/>
          <w:i/>
          <w:lang w:val="es-ES" w:eastAsia="es-ES"/>
        </w:rPr>
      </w:pPr>
      <w:r>
        <w:rPr>
          <w:rFonts w:ascii="Times" w:hAnsi="Times" w:cs="Times"/>
          <w:i/>
          <w:lang w:val="es-ES" w:eastAsia="es-ES"/>
        </w:rPr>
        <w:t>El patrimonio establecido en el cuadro precedente se podrá verificar a través de la declaración del impuesto a la renta del último ejercicio fiscal realizado ante el Servicio de Rentas Internas, o por el documento equivalente en el país de origen para aquellas ofertas extranjeras, el mismo que deberá ser apostillado y traducido al idioma español.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Times New Roman" w:hAnsi="Times New Roman" w:eastAsia="Calibri" w:cs="Arial"/>
          <w:b/>
          <w:bCs/>
          <w:spacing w:val="-3"/>
          <w:sz w:val="18"/>
          <w:szCs w:val="20"/>
          <w:lang w:val="es-ES" w:eastAsia="hi-IN" w:bidi="hi-IN"/>
        </w:rPr>
      </w:pPr>
      <w:r>
        <w:rPr>
          <w:rFonts w:ascii="Arial" w:hAnsi="Arial" w:eastAsia="Times New Roman" w:cs="Arial"/>
          <w:b/>
          <w:bCs/>
          <w:spacing w:val="-3"/>
          <w:sz w:val="20"/>
          <w:lang w:val="es-ES" w:eastAsia="hi-IN" w:bidi="hi-IN"/>
        </w:rPr>
        <w:t>4.1.6. Rubros y Análisis de Precios Unitarios:</w:t>
      </w:r>
    </w:p>
    <w:p>
      <w:pPr>
        <w:tabs>
          <w:tab w:val="left" w:pos="15"/>
        </w:tabs>
        <w:suppressAutoHyphens/>
        <w:spacing w:after="0" w:line="240" w:lineRule="auto"/>
        <w:jc w:val="both"/>
        <w:rPr>
          <w:rFonts w:ascii="Arial" w:hAnsi="Arial" w:eastAsia="Calibri" w:cs="Arial"/>
          <w:sz w:val="20"/>
          <w:lang w:val="es-ES" w:eastAsia="hi-IN" w:bidi="hi-IN"/>
        </w:rPr>
      </w:pPr>
    </w:p>
    <w:p>
      <w:pPr>
        <w:tabs>
          <w:tab w:val="left" w:pos="15"/>
        </w:tabs>
        <w:suppressAutoHyphens/>
        <w:spacing w:after="0" w:line="240" w:lineRule="auto"/>
        <w:jc w:val="both"/>
        <w:rPr>
          <w:rFonts w:ascii="Arial" w:hAnsi="Arial" w:eastAsia="Calibri" w:cs="Arial"/>
          <w:i/>
          <w:sz w:val="20"/>
          <w:lang w:val="es-ES" w:eastAsia="hi-IN" w:bidi="hi-IN"/>
        </w:rPr>
      </w:pPr>
      <w:r>
        <w:rPr>
          <w:rFonts w:ascii="Arial" w:hAnsi="Arial" w:eastAsia="Calibri" w:cs="Arial"/>
          <w:sz w:val="20"/>
          <w:lang w:val="es-ES" w:eastAsia="hi-IN" w:bidi="hi-IN"/>
        </w:rPr>
        <w:t xml:space="preserve">El oferente deberá cotizar todos y cada uno de los rubros señalados en el Formulario 1.4: “TABLA DE DESCRIPCIÓN DE RUBROS, UNIDADES, CANTIDADES Y PRECIOS”; además deberá realizar el análisis de precios unitarios de cada uno de ellos. </w:t>
      </w:r>
      <w:r>
        <w:rPr>
          <w:rFonts w:ascii="Arial" w:hAnsi="Arial" w:eastAsia="Calibri" w:cs="Arial"/>
          <w:b/>
          <w:sz w:val="20"/>
          <w:lang w:val="es-ES" w:eastAsia="hi-IN" w:bidi="hi-IN"/>
        </w:rPr>
        <w:t>(La omisión en la entrega de alguno de ellos, será causa de incumplimiento de este requisito mínimo y por ende de descalificación de la oferta).</w:t>
      </w:r>
      <w:r>
        <w:rPr>
          <w:rFonts w:ascii="Arial" w:hAnsi="Arial" w:eastAsia="Calibri" w:cs="Arial"/>
          <w:i/>
          <w:sz w:val="20"/>
          <w:lang w:val="es-ES" w:eastAsia="hi-IN" w:bidi="hi-IN"/>
        </w:rPr>
        <w:t>Los sueldos y salarios constantes en los análisis de precios se estipularán libremente, pero en ningún caso deberán ser inferiores a los mínimos vigentes en el país, en cuyo caso será causa de rechazo de la oferta.</w:t>
      </w:r>
    </w:p>
    <w:p>
      <w:pPr>
        <w:tabs>
          <w:tab w:val="left" w:pos="15"/>
        </w:tabs>
        <w:suppressAutoHyphens/>
        <w:spacing w:after="0" w:line="240" w:lineRule="auto"/>
        <w:jc w:val="both"/>
        <w:rPr>
          <w:rFonts w:ascii="Arial" w:hAnsi="Arial" w:eastAsia="Calibri" w:cs="Arial"/>
          <w:i/>
          <w:sz w:val="20"/>
          <w:lang w:val="es-ES" w:eastAsia="hi-IN" w:bidi="hi-IN"/>
        </w:rPr>
      </w:pPr>
    </w:p>
    <w:p>
      <w:pPr>
        <w:tabs>
          <w:tab w:val="left" w:pos="15"/>
        </w:tabs>
        <w:suppressAutoHyphens/>
        <w:spacing w:after="0" w:line="240" w:lineRule="auto"/>
        <w:jc w:val="both"/>
        <w:rPr>
          <w:rFonts w:ascii="Arial" w:hAnsi="Arial" w:eastAsia="Times New Roman" w:cs="Arial"/>
          <w:i/>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4.1.7 Metodología y cronograma de ejecución del proyecto:</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540"/>
        </w:tabs>
        <w:suppressAutoHyphens/>
        <w:spacing w:after="0" w:line="240" w:lineRule="auto"/>
        <w:ind w:left="15" w:right="45"/>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El oferente deberá presentar e indicar con suficiente detalle la Metodología y procedimientos a seguir de una manera clara, para cumplir con los diferentes trabajos de ejecución de las obras, dentro del plazo de 120 días. Se considerará la correcta secuencia de actividades y el número de frentes de trabajo simultáneo que propone. El oferente no reproducirá las especificaciones técnicas de la obra para describir la metodología que propone usar.</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El oferente deberá presentar el Cronograma Valorado de ejecución de trabajos, que deberá guardar relación con los análisis de precios unitarios, el Personal Técnico propuesto y la utilización de equipos. Quien resultare ganador del presente concurso, deberá incluir adjunto al cronograma valorado, previo al inicio de los trabajos, la Ruta Crítica del Proyecto (CPM), el cual deberá ser concordante con el cronograma valorado presentado en su oferta, y aprobado por el Administrador del Contrato.</w:t>
      </w: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4.1.8 Información financiera</w:t>
      </w: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Calibri" w:cs="Arial"/>
          <w:sz w:val="20"/>
        </w:rPr>
      </w:pPr>
      <w:r>
        <w:rPr>
          <w:rFonts w:ascii="Arial" w:hAnsi="Arial" w:eastAsia="Times New Roman" w:cs="Arial"/>
          <w:b/>
          <w:sz w:val="20"/>
          <w:lang w:eastAsia="hi-IN" w:bidi="hi-IN"/>
        </w:rPr>
        <w:t xml:space="preserve">Análisis Índices Financieros: </w:t>
      </w:r>
      <w:r>
        <w:rPr>
          <w:rFonts w:ascii="Arial" w:hAnsi="Arial" w:eastAsia="Calibri" w:cs="Arial"/>
          <w:sz w:val="20"/>
        </w:rPr>
        <w:t>La capacidad económico-financiera del Oferente será analizada considerando la información consignada en el Formulario 1.3. Los factores para su cálculo estarán respaldados en la Declaración del Impuesto a la Renta y/o los balances presentados al órgano de control respectivo.</w:t>
      </w:r>
    </w:p>
    <w:p>
      <w:pPr>
        <w:tabs>
          <w:tab w:val="left" w:pos="3765"/>
        </w:tabs>
        <w:spacing w:after="0" w:line="240" w:lineRule="auto"/>
        <w:jc w:val="both"/>
        <w:rPr>
          <w:rFonts w:ascii="Arial" w:hAnsi="Arial" w:eastAsia="Calibri" w:cs="Arial"/>
          <w:sz w:val="20"/>
        </w:rPr>
      </w:pPr>
    </w:p>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El análisis de los índices financieros se registrará conforme el detalle a continuación:</w:t>
      </w:r>
    </w:p>
    <w:p>
      <w:pPr>
        <w:suppressAutoHyphens/>
        <w:spacing w:after="0" w:line="240" w:lineRule="auto"/>
        <w:jc w:val="both"/>
        <w:rPr>
          <w:rFonts w:ascii="Arial" w:hAnsi="Arial" w:eastAsia="Times New Roman" w:cs="Arial"/>
          <w:spacing w:val="-3"/>
          <w:sz w:val="20"/>
          <w:lang w:eastAsia="hi-IN" w:bidi="hi-IN"/>
        </w:rPr>
      </w:pPr>
    </w:p>
    <w:tbl>
      <w:tblPr>
        <w:tblStyle w:val="46"/>
        <w:tblW w:w="7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5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D9D9D9"/>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Índice</w:t>
            </w:r>
          </w:p>
        </w:tc>
        <w:tc>
          <w:tcPr>
            <w:tcW w:w="2564" w:type="dxa"/>
            <w:shd w:val="clear" w:color="auto" w:fill="D9D9D9"/>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Indicador solicitado</w:t>
            </w:r>
          </w:p>
        </w:tc>
        <w:tc>
          <w:tcPr>
            <w:tcW w:w="2558" w:type="dxa"/>
            <w:shd w:val="clear" w:color="auto" w:fill="D9D9D9"/>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OBSERVACIONES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auto"/>
          </w:tcPr>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Solvencia</w:t>
            </w:r>
          </w:p>
        </w:tc>
        <w:tc>
          <w:tcPr>
            <w:tcW w:w="2564" w:type="dxa"/>
            <w:shd w:val="clear" w:color="auto" w:fill="auto"/>
          </w:tcPr>
          <w:p>
            <w:pPr>
              <w:suppressAutoHyphens/>
              <w:spacing w:after="0" w:line="240" w:lineRule="auto"/>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Igual o mayor a 1.0</w:t>
            </w:r>
          </w:p>
        </w:tc>
        <w:tc>
          <w:tcPr>
            <w:tcW w:w="2558" w:type="dxa"/>
          </w:tcPr>
          <w:p>
            <w:pPr>
              <w:suppressAutoHyphens/>
              <w:spacing w:after="0" w:line="240" w:lineRule="auto"/>
              <w:jc w:val="both"/>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auto"/>
          </w:tcPr>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Endeudamiento</w:t>
            </w:r>
          </w:p>
        </w:tc>
        <w:tc>
          <w:tcPr>
            <w:tcW w:w="2564" w:type="dxa"/>
            <w:shd w:val="clear" w:color="auto" w:fill="auto"/>
          </w:tcPr>
          <w:p>
            <w:pPr>
              <w:suppressAutoHyphens/>
              <w:spacing w:after="0" w:line="240" w:lineRule="auto"/>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Menor a 0.85</w:t>
            </w:r>
          </w:p>
        </w:tc>
        <w:tc>
          <w:tcPr>
            <w:tcW w:w="2558" w:type="dxa"/>
          </w:tcPr>
          <w:p>
            <w:pPr>
              <w:suppressAutoHyphens/>
              <w:spacing w:after="0" w:line="240" w:lineRule="auto"/>
              <w:jc w:val="both"/>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auto"/>
          </w:tcPr>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Estructural </w:t>
            </w:r>
          </w:p>
        </w:tc>
        <w:tc>
          <w:tcPr>
            <w:tcW w:w="2564"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≥0.20</w:t>
            </w:r>
          </w:p>
        </w:tc>
        <w:tc>
          <w:tcPr>
            <w:tcW w:w="2558" w:type="dxa"/>
          </w:tcPr>
          <w:p>
            <w:pPr>
              <w:suppressAutoHyphens/>
              <w:spacing w:after="0" w:line="240" w:lineRule="auto"/>
              <w:jc w:val="both"/>
              <w:rPr>
                <w:rFonts w:ascii="Arial" w:hAnsi="Arial" w:eastAsia="Times New Roman" w:cs="Arial"/>
                <w:spacing w:val="-3"/>
                <w:sz w:val="20"/>
                <w:lang w:eastAsia="hi-IN" w:bidi="hi-IN"/>
              </w:rPr>
            </w:pPr>
          </w:p>
        </w:tc>
      </w:tr>
    </w:tbl>
    <w:p>
      <w:pPr>
        <w:spacing w:after="0" w:line="240" w:lineRule="auto"/>
        <w:jc w:val="both"/>
        <w:rPr>
          <w:rFonts w:ascii="Arial" w:hAnsi="Arial" w:eastAsia="Calibri" w:cs="Arial"/>
          <w:sz w:val="20"/>
        </w:rPr>
      </w:pPr>
    </w:p>
    <w:p>
      <w:pPr>
        <w:suppressAutoHyphens/>
        <w:spacing w:after="0" w:line="240" w:lineRule="auto"/>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El incumplimiento de alguno de los índices financieros será causal de descalificación de la oferta.</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Índices Financieros serán calculados y presentados con la información obtenida de la Declaración del Impuesto a la Renta del último ejercicio fiscal correspondiente y del Estado de Situación Financiera Balance General (si estuviere obligado a llevar Contabilidad), según corresponda.</w:t>
      </w:r>
    </w:p>
    <w:p>
      <w:pPr>
        <w:suppressLineNumbers/>
        <w:tabs>
          <w:tab w:val="left" w:pos="15"/>
        </w:tabs>
        <w:suppressAutoHyphens/>
        <w:spacing w:after="0" w:line="240" w:lineRule="auto"/>
        <w:jc w:val="center"/>
        <w:rPr>
          <w:rFonts w:ascii="Arial" w:hAnsi="Arial" w:eastAsia="Times New Roman" w:cs="Arial"/>
          <w:spacing w:val="-3"/>
          <w:sz w:val="20"/>
          <w:lang w:val="es-ES" w:eastAsia="hi-IN" w:bidi="hi-IN"/>
        </w:rPr>
      </w:pPr>
    </w:p>
    <w:p>
      <w:pPr>
        <w:suppressLineNumbers/>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factores para su cálculo estarán respaldados en la DECLARACIÓN DEL IMPUESTO A LA RENTA del ejercicio fiscal correspondiente ante el SRI y los BALANCES firmados por un contador profesional CPA, el cual deberá tener el registro de su ejercicio profesional en el SRI a la fecha de presentación de la oferta, lo cual será verificado a través de su RUC.</w:t>
      </w:r>
    </w:p>
    <w:p>
      <w:pPr>
        <w:tabs>
          <w:tab w:val="left" w:pos="-720"/>
          <w:tab w:val="left" w:pos="0"/>
          <w:tab w:val="left" w:pos="720"/>
        </w:tabs>
        <w:suppressAutoHyphens/>
        <w:spacing w:after="0" w:line="240" w:lineRule="auto"/>
        <w:jc w:val="both"/>
        <w:rPr>
          <w:rFonts w:ascii="Arial" w:hAnsi="Arial" w:eastAsia="Times New Roman" w:cs="Arial"/>
          <w:spacing w:val="-3"/>
          <w:sz w:val="20"/>
          <w:lang w:eastAsia="ar-SA" w:bidi="hi-IN"/>
        </w:rPr>
      </w:pPr>
    </w:p>
    <w:p>
      <w:pPr>
        <w:tabs>
          <w:tab w:val="left" w:pos="-720"/>
          <w:tab w:val="left" w:pos="0"/>
          <w:tab w:val="left" w:pos="720"/>
        </w:tabs>
        <w:suppressAutoHyphens/>
        <w:spacing w:after="0" w:line="240" w:lineRule="auto"/>
        <w:jc w:val="both"/>
        <w:rPr>
          <w:rFonts w:ascii="Arial" w:hAnsi="Arial" w:eastAsia="Times New Roman" w:cs="Arial"/>
          <w:spacing w:val="-3"/>
          <w:sz w:val="20"/>
          <w:lang w:eastAsia="ar-SA" w:bidi="hi-IN"/>
        </w:rPr>
      </w:pPr>
    </w:p>
    <w:p>
      <w:pPr>
        <w:suppressLineNumbers/>
        <w:tabs>
          <w:tab w:val="left" w:pos="15"/>
        </w:tabs>
        <w:suppressAutoHyphens/>
        <w:spacing w:after="0" w:line="240" w:lineRule="auto"/>
        <w:jc w:val="both"/>
        <w:rPr>
          <w:rFonts w:ascii="Arial" w:hAnsi="Arial" w:eastAsia="Times New Roman" w:cs="Arial"/>
          <w:spacing w:val="-3"/>
          <w:sz w:val="20"/>
          <w:lang w:val="es-ES" w:eastAsia="hi-IN" w:bidi="hi-IN"/>
        </w:rPr>
      </w:pPr>
    </w:p>
    <w:p>
      <w:pPr>
        <w:suppressLineNumbers/>
        <w:suppressAutoHyphens/>
        <w:snapToGrid w:val="0"/>
        <w:spacing w:after="0" w:line="240" w:lineRule="auto"/>
        <w:jc w:val="both"/>
        <w:rPr>
          <w:rFonts w:ascii="Arial" w:hAnsi="Arial" w:eastAsia="Times New Roman" w:cs="Arial"/>
          <w:b/>
          <w:iCs/>
          <w:sz w:val="20"/>
          <w:lang w:eastAsia="hi-IN" w:bidi="hi-IN"/>
        </w:rPr>
      </w:pPr>
      <w:r>
        <w:rPr>
          <w:rFonts w:ascii="Arial" w:hAnsi="Arial" w:eastAsia="Times New Roman" w:cs="Arial"/>
          <w:b/>
          <w:iCs/>
          <w:sz w:val="20"/>
          <w:lang w:eastAsia="hi-IN" w:bidi="hi-IN"/>
        </w:rPr>
        <w:t xml:space="preserve">4.1.9 Verificación de cumplimiento de integridad y requisitos mínimos de la oferta </w:t>
      </w:r>
    </w:p>
    <w:p>
      <w:pPr>
        <w:suppressAutoHyphens/>
        <w:spacing w:after="0" w:line="240" w:lineRule="auto"/>
        <w:jc w:val="both"/>
        <w:rPr>
          <w:rFonts w:ascii="Arial" w:hAnsi="Arial" w:eastAsia="Times New Roman" w:cs="Arial"/>
          <w:spacing w:val="-3"/>
          <w:sz w:val="20"/>
          <w:lang w:eastAsia="hi-IN" w:bidi="hi-IN"/>
        </w:rPr>
      </w:pPr>
    </w:p>
    <w:tbl>
      <w:tblPr>
        <w:tblStyle w:val="46"/>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1449"/>
        <w:gridCol w:w="1555"/>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PARÁMETRO</w:t>
            </w:r>
          </w:p>
        </w:tc>
        <w:tc>
          <w:tcPr>
            <w:tcW w:w="1449"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CUMPLE</w:t>
            </w:r>
          </w:p>
        </w:tc>
        <w:tc>
          <w:tcPr>
            <w:tcW w:w="1555"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NO CUMPLE</w:t>
            </w:r>
          </w:p>
        </w:tc>
        <w:tc>
          <w:tcPr>
            <w:tcW w:w="2109"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OBSERVACIONES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Integridad de la oferta</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Equipo mínimo </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Personal técnico mínimo</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Experiencia mínima del Personal Técnico</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Patrimonio (Personas Jurídicas)</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Rubros y Análisis de Precios Unitarios</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Metodología y cronograma</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Índices Financieros</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bl>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i/>
          <w:sz w:val="20"/>
          <w:u w:val="single"/>
          <w:lang w:eastAsia="hi-IN" w:bidi="hi-IN"/>
        </w:rPr>
      </w:pPr>
      <w:r>
        <w:rPr>
          <w:rFonts w:ascii="Arial" w:hAnsi="Arial" w:eastAsia="Times New Roman" w:cs="Arial"/>
          <w:i/>
          <w:sz w:val="20"/>
          <w:u w:val="single"/>
          <w:lang w:eastAsia="hi-IN" w:bidi="hi-IN"/>
        </w:rPr>
        <w:t>Aquellas ofertas que cumplan integralmente con los parámetros mínimos, pasarán a la etapa de evaluación con puntaje, caso contrario serán descalificadas.</w:t>
      </w:r>
    </w:p>
    <w:p>
      <w:pPr>
        <w:suppressAutoHyphens/>
        <w:spacing w:after="0" w:line="240" w:lineRule="auto"/>
        <w:jc w:val="both"/>
        <w:rPr>
          <w:rFonts w:ascii="Arial" w:hAnsi="Arial" w:eastAsia="Times New Roman" w:cs="Arial"/>
          <w:spacing w:val="-3"/>
          <w:sz w:val="20"/>
          <w:lang w:eastAsia="hi-IN" w:bidi="hi-IN"/>
        </w:rPr>
      </w:pPr>
    </w:p>
    <w:p>
      <w:pPr>
        <w:suppressAutoHyphens/>
        <w:spacing w:after="0" w:line="240" w:lineRule="auto"/>
        <w:jc w:val="both"/>
        <w:rPr>
          <w:rFonts w:ascii="Arial" w:hAnsi="Arial" w:eastAsia="Times New Roman" w:cs="Arial"/>
          <w:spacing w:val="-3"/>
          <w:sz w:val="20"/>
          <w:lang w:eastAsia="hi-IN" w:bidi="hi-IN"/>
        </w:rPr>
      </w:pPr>
    </w:p>
    <w:p>
      <w:pPr>
        <w:suppressAutoHyphens/>
        <w:spacing w:after="0" w:line="240" w:lineRule="auto"/>
        <w:jc w:val="both"/>
        <w:rPr>
          <w:rFonts w:ascii="Arial" w:hAnsi="Arial" w:eastAsia="Times New Roman" w:cs="Arial"/>
          <w:bCs/>
          <w:spacing w:val="-3"/>
          <w:sz w:val="20"/>
          <w:lang w:eastAsia="hi-IN" w:bidi="hi-IN"/>
        </w:rPr>
      </w:pPr>
      <w:r>
        <w:rPr>
          <w:rFonts w:ascii="Arial" w:hAnsi="Arial" w:eastAsia="Times New Roman" w:cs="Arial"/>
          <w:b/>
          <w:bCs/>
          <w:spacing w:val="-3"/>
          <w:sz w:val="20"/>
          <w:lang w:eastAsia="hi-IN" w:bidi="hi-IN"/>
        </w:rPr>
        <w:t xml:space="preserve">4.2. Evaluación por puntaje: </w:t>
      </w:r>
      <w:r>
        <w:rPr>
          <w:rFonts w:ascii="Arial" w:hAnsi="Arial" w:eastAsia="Times New Roman" w:cs="Arial"/>
          <w:bCs/>
          <w:spacing w:val="-3"/>
          <w:sz w:val="20"/>
          <w:lang w:eastAsia="hi-IN" w:bidi="hi-IN"/>
        </w:rPr>
        <w:t>Solo las ofertas que cumplan con los requisitos mínimos serán objeto de evaluación por puntaje.</w:t>
      </w:r>
    </w:p>
    <w:p>
      <w:pPr>
        <w:suppressAutoHyphens/>
        <w:spacing w:after="0" w:line="240" w:lineRule="auto"/>
        <w:jc w:val="both"/>
        <w:rPr>
          <w:rFonts w:ascii="Arial" w:hAnsi="Arial" w:eastAsia="Times New Roman" w:cs="Arial"/>
          <w:bCs/>
          <w:spacing w:val="-3"/>
          <w:sz w:val="20"/>
          <w:lang w:eastAsia="hi-IN" w:bidi="hi-IN"/>
        </w:rPr>
      </w:pPr>
    </w:p>
    <w:p>
      <w:pPr>
        <w:suppressAutoHyphens/>
        <w:spacing w:after="0" w:line="240" w:lineRule="auto"/>
        <w:jc w:val="both"/>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El cuadro siguiente detalla los parámetros de evaluación y los puntajes a otorgar por cada uno de ellos:</w:t>
      </w:r>
    </w:p>
    <w:p>
      <w:pPr>
        <w:suppressAutoHyphens/>
        <w:spacing w:after="0" w:line="240" w:lineRule="auto"/>
        <w:jc w:val="both"/>
        <w:rPr>
          <w:rFonts w:ascii="Arial" w:hAnsi="Arial" w:eastAsia="Times New Roman" w:cs="Arial"/>
          <w:b/>
          <w:bCs/>
          <w:spacing w:val="-3"/>
          <w:sz w:val="20"/>
          <w:lang w:eastAsia="hi-IN" w:bidi="hi-IN"/>
        </w:rPr>
      </w:pPr>
    </w:p>
    <w:tbl>
      <w:tblPr>
        <w:tblStyle w:val="4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D8D8D8" w:themeFill="background1" w:themeFillShade="D9"/>
          </w:tcPr>
          <w:p>
            <w:pPr>
              <w:suppressAutoHyphens/>
              <w:spacing w:before="60" w:after="60" w:line="240" w:lineRule="auto"/>
              <w:jc w:val="center"/>
              <w:rPr>
                <w:rFonts w:ascii="Arial" w:hAnsi="Arial" w:eastAsia="Times New Roman" w:cs="Arial"/>
                <w:b/>
                <w:bCs/>
                <w:spacing w:val="-3"/>
                <w:sz w:val="20"/>
                <w:lang w:eastAsia="hi-IN" w:bidi="hi-IN"/>
              </w:rPr>
            </w:pPr>
            <w:r>
              <w:rPr>
                <w:rFonts w:ascii="Arial" w:hAnsi="Arial" w:eastAsia="Times New Roman" w:cs="Arial"/>
                <w:b/>
                <w:bCs/>
                <w:sz w:val="20"/>
                <w:lang w:eastAsia="hi-IN" w:bidi="hi-IN"/>
              </w:rPr>
              <w:t>Parámetro sugerido</w:t>
            </w:r>
          </w:p>
        </w:tc>
        <w:tc>
          <w:tcPr>
            <w:tcW w:w="6810" w:type="dxa"/>
            <w:shd w:val="clear" w:color="auto" w:fill="D8D8D8" w:themeFill="background1" w:themeFillShade="D9"/>
          </w:tcPr>
          <w:p>
            <w:pPr>
              <w:suppressAutoHyphens/>
              <w:spacing w:before="60" w:after="60" w:line="240" w:lineRule="auto"/>
              <w:jc w:val="center"/>
              <w:rPr>
                <w:rFonts w:ascii="Arial" w:hAnsi="Arial" w:eastAsia="Times New Roman" w:cs="Arial"/>
                <w:b/>
                <w:bCs/>
                <w:spacing w:val="-3"/>
                <w:sz w:val="20"/>
                <w:lang w:eastAsia="hi-IN" w:bidi="hi-IN"/>
              </w:rPr>
            </w:pPr>
            <w:r>
              <w:rPr>
                <w:rFonts w:ascii="Arial" w:hAnsi="Arial" w:eastAsia="Times New Roman" w:cs="Arial"/>
                <w:b/>
                <w:bCs/>
                <w:sz w:val="20"/>
                <w:lang w:eastAsia="hi-IN" w:bidi="hi-IN"/>
              </w:rPr>
              <w:t>Descripción y Puntajes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auto"/>
            <w:vAlign w:val="center"/>
          </w:tcPr>
          <w:p>
            <w:pPr>
              <w:suppressAutoHyphens/>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 xml:space="preserve">Experiencia Específica del oferente </w:t>
            </w:r>
          </w:p>
          <w:p>
            <w:pPr>
              <w:suppressAutoHyphens/>
              <w:spacing w:after="0" w:line="240" w:lineRule="auto"/>
              <w:jc w:val="center"/>
              <w:rPr>
                <w:rFonts w:ascii="Arial" w:hAnsi="Arial" w:eastAsia="Times New Roman" w:cs="Arial"/>
                <w:b/>
                <w:bCs/>
                <w:spacing w:val="-3"/>
                <w:sz w:val="20"/>
                <w:lang w:eastAsia="hi-IN" w:bidi="hi-IN"/>
              </w:rPr>
            </w:pPr>
            <w:r>
              <w:rPr>
                <w:rFonts w:ascii="Arial" w:hAnsi="Arial" w:eastAsia="Times New Roman" w:cs="Arial"/>
                <w:sz w:val="20"/>
                <w:lang w:eastAsia="hi-IN" w:bidi="hi-IN"/>
              </w:rPr>
              <w:t>(25 puntos)</w:t>
            </w:r>
          </w:p>
        </w:tc>
        <w:tc>
          <w:tcPr>
            <w:tcW w:w="6810" w:type="dxa"/>
            <w:shd w:val="clear" w:color="auto" w:fill="auto"/>
          </w:tcPr>
          <w:p>
            <w:pPr>
              <w:tabs>
                <w:tab w:val="left" w:pos="15"/>
              </w:tabs>
              <w:suppressAutoHyphens/>
              <w:spacing w:after="0" w:line="240" w:lineRule="auto"/>
              <w:jc w:val="both"/>
              <w:rPr>
                <w:rFonts w:ascii="Arial" w:hAnsi="Arial" w:eastAsia="Times New Roman" w:cs="Arial"/>
                <w:spacing w:val="-3"/>
                <w:sz w:val="20"/>
                <w:lang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participantes que con un máximo de 3 obras de PAVIMENTO FLEXIBLE (carpeta asfáltica en vías) realizadas en los últimos 15 años  justifiquen EL 100% DEL PRESUPUESTO REFERENCIAL SE LES ACREDITARÁ LA TOTALIDAD DE LOS PUNTOS, A LOS DEMAS SE LES OTORGARÁ EL PUNTAJE DE MANERA PROPORCIONAL.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La experiencia se acreditará siempre y cuando haya participado como </w:t>
            </w:r>
            <w:r>
              <w:rPr>
                <w:rFonts w:ascii="Arial" w:hAnsi="Arial" w:eastAsia="Times New Roman" w:cs="Arial"/>
                <w:b/>
                <w:spacing w:val="-3"/>
                <w:sz w:val="20"/>
                <w:lang w:val="es-ES" w:eastAsia="hi-IN" w:bidi="hi-IN"/>
              </w:rPr>
              <w:t>Contratista o Subcontratista</w:t>
            </w:r>
            <w:r>
              <w:rPr>
                <w:rFonts w:ascii="Arial" w:hAnsi="Arial" w:eastAsia="Times New Roman" w:cs="Arial"/>
                <w:spacing w:val="-3"/>
                <w:sz w:val="20"/>
                <w:lang w:val="es-ES" w:eastAsia="hi-IN" w:bidi="hi-IN"/>
              </w:rPr>
              <w:t>.</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Se presentarán las Actas de Entrega – Recepción Definitivas de las obras donde ha actuado en las calidades antes mencionadas. Se aceptará también un certificado emitido por la Entidad Contratante de la obra en donde se describa el monto ejecutado y la fecha de ejecución de las obras. Todos los certificados deberán ser suscritos, en el caso de trabajos realizados para sector público, por la máxima autoridad, o Director Departamental correspondiente (No se aceptarán certificaciones otorgadas por el Fiscalizador de la obra, o por el Administrador del Contrato, o cualquier otro funcionario de la entidad contratante);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el caso de trabajos realizados para el sector privado, el certificado deberá estar suscrito por el Gerente,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 xml:space="preserve">de la entidad contratante de la obra.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kern w:val="3"/>
                <w:sz w:val="20"/>
                <w:lang w:val="es-ES" w:eastAsia="ar-SA"/>
              </w:rPr>
            </w:pPr>
            <w:r>
              <w:rPr>
                <w:rFonts w:ascii="Arial" w:hAnsi="Arial" w:eastAsia="Times New Roman" w:cs="Arial"/>
                <w:spacing w:val="-3"/>
                <w:sz w:val="20"/>
                <w:lang w:val="es-ES" w:eastAsia="hi-IN" w:bidi="hi-IN"/>
              </w:rPr>
              <w:t>Las actas que se entreguen deben ser Actas de Entrega - Recepción Definitiva. Solo en el caso de que no se cumpla el tiempo previsto para la obtención de estos documentos (6 meses), se aceptará Actas de Entrega - Recepción Provisional.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auto"/>
            <w:vAlign w:val="center"/>
          </w:tcPr>
          <w:p>
            <w:pPr>
              <w:suppressLineNumbers/>
              <w:suppressAutoHyphens/>
              <w:snapToGrid w:val="0"/>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Experiencia del Personal Técnico</w:t>
            </w:r>
          </w:p>
          <w:p>
            <w:pPr>
              <w:suppressLineNumbers/>
              <w:suppressAutoHyphens/>
              <w:snapToGrid w:val="0"/>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(20 puntos)</w:t>
            </w:r>
          </w:p>
          <w:p>
            <w:pPr>
              <w:suppressAutoHyphens/>
              <w:spacing w:after="0" w:line="240" w:lineRule="auto"/>
              <w:jc w:val="center"/>
              <w:rPr>
                <w:rFonts w:ascii="Arial" w:hAnsi="Arial" w:eastAsia="Times New Roman" w:cs="Arial"/>
                <w:b/>
                <w:bCs/>
                <w:spacing w:val="-3"/>
                <w:sz w:val="20"/>
                <w:lang w:eastAsia="hi-IN" w:bidi="hi-IN"/>
              </w:rPr>
            </w:pPr>
          </w:p>
        </w:tc>
        <w:tc>
          <w:tcPr>
            <w:tcW w:w="6810" w:type="dxa"/>
            <w:shd w:val="clear" w:color="auto" w:fill="auto"/>
          </w:tcPr>
          <w:p>
            <w:pPr>
              <w:suppressLineNumbers/>
              <w:suppressAutoHyphens/>
              <w:spacing w:after="0" w:line="240" w:lineRule="auto"/>
              <w:jc w:val="both"/>
              <w:rPr>
                <w:rFonts w:ascii="Arial" w:hAnsi="Arial" w:eastAsia="Times New Roman" w:cs="Arial"/>
                <w:b/>
                <w:spacing w:val="-3"/>
                <w:sz w:val="20"/>
                <w:lang w:val="es-ES" w:eastAsia="hi-IN" w:bidi="hi-IN"/>
              </w:rPr>
            </w:pPr>
          </w:p>
          <w:p>
            <w:pPr>
              <w:suppressLineNumbers/>
              <w:suppressAutoHyphens/>
              <w:spacing w:after="0" w:line="240" w:lineRule="auto"/>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Superintendente: Máximo 10 puntos</w:t>
            </w:r>
          </w:p>
          <w:p>
            <w:pPr>
              <w:suppressLineNumbers/>
              <w:suppressAutoHyphens/>
              <w:spacing w:after="0" w:line="240" w:lineRule="auto"/>
              <w:jc w:val="both"/>
              <w:rPr>
                <w:rFonts w:ascii="Arial" w:hAnsi="Arial" w:eastAsia="Times New Roman" w:cs="Arial"/>
                <w:b/>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profesionales propuestos que, con un máximo de 3 obras de PAVIMENTO FLEXIBLE (carpeta asfáltica en vías) realizadas en los últimos 15 años  justifiquen EL 100% DEL PRESUPUESTO REFERENCIAL SE LES ACREDITARÁ LA TOTALIDAD DE LOS PUNTOS, A LOS DEMAS SE LES OTORGARÁ EL PUNTAJE DE MANERA PROPORCIONAL. La experiencia se acreditará únicamente en obras concluidas.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NO SE CONSIDERARÁN LA O LAS EXPERIENCIAS PRESENTADAS EN LA ETAPA DE EVALUACIÓN MEDIANTE LA METODOLOGÍA DE CHECK LIST.</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b/>
                <w:i/>
                <w:spacing w:val="-3"/>
                <w:sz w:val="20"/>
                <w:lang w:val="es-ES" w:eastAsia="hi-IN" w:bidi="hi-IN"/>
              </w:rPr>
            </w:pPr>
            <w:r>
              <w:rPr>
                <w:rFonts w:ascii="Arial" w:hAnsi="Arial" w:eastAsia="Times New Roman" w:cs="Arial"/>
                <w:spacing w:val="-3"/>
                <w:sz w:val="20"/>
                <w:lang w:val="es-ES" w:eastAsia="hi-IN" w:bidi="hi-IN"/>
              </w:rPr>
              <w:t xml:space="preserve">La experiencia se acreditará siempre y cuando haya participado como </w:t>
            </w:r>
            <w:r>
              <w:rPr>
                <w:rFonts w:ascii="Arial" w:hAnsi="Arial" w:eastAsia="Arial Unicode MS" w:cs="Arial"/>
                <w:bCs/>
                <w:sz w:val="20"/>
                <w:lang w:val="es-ES" w:eastAsia="ar-SA"/>
              </w:rPr>
              <w:t xml:space="preserve">Contratista, Fiscalizador, Superintendente, Supervisor, Residente de obra y/o de Fiscalización, Jefe o Director Técnico o Subcontratista </w:t>
            </w:r>
            <w:r>
              <w:rPr>
                <w:rFonts w:ascii="Arial" w:hAnsi="Arial" w:eastAsia="Times New Roman" w:cs="Arial"/>
                <w:spacing w:val="-3"/>
                <w:sz w:val="20"/>
                <w:lang w:val="es-ES" w:eastAsia="hi-IN" w:bidi="hi-IN"/>
              </w:rPr>
              <w:t xml:space="preserve">de obras similares, </w:t>
            </w:r>
            <w:r>
              <w:rPr>
                <w:rFonts w:ascii="Arial" w:hAnsi="Arial" w:eastAsia="Arial Unicode MS" w:cs="Arial"/>
                <w:bCs/>
                <w:sz w:val="20"/>
                <w:lang w:val="es-ES" w:eastAsia="ar-SA"/>
              </w:rPr>
              <w:t>entendiéndose como obra similar: Pavimento Flexible (Carpeta asfáltica en vías).</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del Superintendente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7"/>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7"/>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pStyle w:val="57"/>
              <w:rPr>
                <w:rFonts w:ascii="Arial" w:hAnsi="Arial" w:cs="Arial"/>
                <w:spacing w:val="-3"/>
                <w:sz w:val="20"/>
                <w:lang w:val="es-ES"/>
              </w:rPr>
            </w:pPr>
          </w:p>
          <w:p>
            <w:pPr>
              <w:numPr>
                <w:ilvl w:val="0"/>
                <w:numId w:val="7"/>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tabs>
                <w:tab w:val="left" w:pos="-720"/>
              </w:tabs>
              <w:suppressAutoHyphens/>
              <w:spacing w:after="0" w:line="240" w:lineRule="auto"/>
              <w:ind w:left="360"/>
              <w:jc w:val="both"/>
              <w:rPr>
                <w:rFonts w:ascii="Arial" w:hAnsi="Arial" w:eastAsia="Times New Roman" w:cs="Arial"/>
                <w:spacing w:val="-3"/>
                <w:sz w:val="20"/>
                <w:lang w:val="es-ES" w:eastAsia="hi-IN" w:bidi="hi-IN"/>
              </w:rPr>
            </w:pPr>
          </w:p>
          <w:p>
            <w:pPr>
              <w:pStyle w:val="57"/>
              <w:numPr>
                <w:ilvl w:val="0"/>
                <w:numId w:val="7"/>
              </w:numPr>
              <w:rPr>
                <w:rFonts w:ascii="Arial" w:hAnsi="Arial" w:cs="Arial"/>
                <w:i/>
                <w:spacing w:val="-3"/>
                <w:sz w:val="20"/>
                <w:lang w:val="es-ES"/>
              </w:rPr>
            </w:pPr>
            <w:r>
              <w:rPr>
                <w:rFonts w:ascii="Arial" w:hAnsi="Arial" w:cs="Arial"/>
                <w:spacing w:val="-3"/>
                <w:sz w:val="20"/>
                <w:lang w:val="es-ES"/>
              </w:rPr>
              <w:t xml:space="preserve">Si el profesional ha participado en calidad de </w:t>
            </w:r>
            <w:r>
              <w:rPr>
                <w:rFonts w:ascii="Arial" w:hAnsi="Arial" w:cs="Arial"/>
                <w:b/>
                <w:i/>
                <w:spacing w:val="-3"/>
                <w:sz w:val="20"/>
                <w:lang w:val="es-ES"/>
              </w:rPr>
              <w:t>Fiscalizador</w:t>
            </w:r>
            <w:r>
              <w:rPr>
                <w:rFonts w:ascii="Arial" w:hAnsi="Arial" w:cs="Arial"/>
                <w:i/>
                <w:spacing w:val="-3"/>
                <w:sz w:val="20"/>
                <w:lang w:val="es-ES"/>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cs="Arial"/>
                <w:spacing w:val="-3"/>
                <w:sz w:val="20"/>
                <w:lang w:val="es-ES"/>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cs="Arial"/>
                <w:i/>
                <w:spacing w:val="-3"/>
                <w:sz w:val="20"/>
                <w:lang w:val="es-ES"/>
              </w:rPr>
              <w:t xml:space="preserve">(No se aceptarán certificaciones otorgadas por el Fiscalizador de la obra, </w:t>
            </w:r>
            <w:r>
              <w:rPr>
                <w:rFonts w:ascii="Arial" w:hAnsi="Arial" w:cs="Arial"/>
                <w:spacing w:val="-3"/>
                <w:sz w:val="20"/>
                <w:lang w:val="es-ES"/>
              </w:rPr>
              <w:t>o por el Administrador del Contrato). En el caso de trabajos realizados para el sector privado, el certificado deberá estar suscrito por el Gerente o Representante Legal de la entidad contratante</w:t>
            </w:r>
            <w:r>
              <w:rPr>
                <w:rFonts w:ascii="Arial" w:hAnsi="Arial" w:cs="Arial"/>
                <w:i/>
                <w:spacing w:val="-3"/>
                <w:sz w:val="20"/>
                <w:lang w:val="es-ES"/>
              </w:rPr>
              <w:t>. Certificaciones o actas con relación de dependencia del sector público o privado, se valorará el 40% de monto certificado.</w:t>
            </w:r>
          </w:p>
          <w:p>
            <w:pPr>
              <w:pStyle w:val="57"/>
              <w:rPr>
                <w:lang w:val="es-ES"/>
              </w:rPr>
            </w:pPr>
          </w:p>
          <w:p>
            <w:pPr>
              <w:pStyle w:val="57"/>
              <w:numPr>
                <w:ilvl w:val="0"/>
                <w:numId w:val="7"/>
              </w:numPr>
              <w:rPr>
                <w:rFonts w:ascii="Arial" w:hAnsi="Arial" w:cs="Arial"/>
                <w:spacing w:val="-3"/>
                <w:sz w:val="20"/>
                <w:lang w:val="es-ES"/>
              </w:rPr>
            </w:pPr>
            <w:r>
              <w:rPr>
                <w:rFonts w:ascii="Arial" w:hAnsi="Arial" w:cs="Arial"/>
                <w:spacing w:val="-3"/>
                <w:sz w:val="20"/>
                <w:lang w:val="es-ES"/>
              </w:rPr>
              <w:t xml:space="preserve">Si el profesional ha participado en calidad de </w:t>
            </w:r>
            <w:r>
              <w:rPr>
                <w:rFonts w:ascii="Arial" w:hAnsi="Arial" w:cs="Arial"/>
                <w:b/>
                <w:spacing w:val="-3"/>
                <w:sz w:val="20"/>
                <w:lang w:val="es-ES"/>
              </w:rPr>
              <w:t>Superintendente, Supervisor, Residente de obra y/o de Fiscalización, Jefe o Director Técnico de obras similares</w:t>
            </w:r>
            <w:r>
              <w:rPr>
                <w:rFonts w:ascii="Arial" w:hAnsi="Arial" w:cs="Arial"/>
                <w:spacing w:val="-3"/>
                <w:sz w:val="20"/>
                <w:lang w:val="es-ES"/>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o técnico debidamente acreditado 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cs="Arial"/>
                <w:i/>
                <w:spacing w:val="-3"/>
                <w:sz w:val="20"/>
                <w:lang w:val="es-ES"/>
              </w:rPr>
              <w:t>Certificaciones o actas con relación de dependencia del sector público o privado, se valorará el 40% de monto certificado.</w:t>
            </w:r>
          </w:p>
          <w:p>
            <w:pPr>
              <w:tabs>
                <w:tab w:val="left" w:pos="-720"/>
              </w:tabs>
              <w:suppressAutoHyphens/>
              <w:spacing w:after="0" w:line="240" w:lineRule="auto"/>
              <w:jc w:val="both"/>
              <w:rPr>
                <w:rFonts w:ascii="Calibri" w:hAnsi="Calibri" w:eastAsia="Times New Roman" w:cs="Times New Roman"/>
                <w:szCs w:val="20"/>
                <w:lang w:eastAsia="hi-IN" w:bidi="hi-IN"/>
              </w:rPr>
            </w:pPr>
          </w:p>
          <w:p>
            <w:pPr>
              <w:numPr>
                <w:ilvl w:val="0"/>
                <w:numId w:val="7"/>
              </w:numPr>
              <w:tabs>
                <w:tab w:val="left" w:pos="-720"/>
              </w:tabs>
              <w:suppressAutoHyphens/>
              <w:spacing w:after="0" w:line="240" w:lineRule="auto"/>
              <w:jc w:val="both"/>
              <w:rPr>
                <w:rFonts w:ascii="Calibri" w:hAnsi="Calibri" w:eastAsia="Times New Roman" w:cs="Times New Roman"/>
                <w:szCs w:val="20"/>
                <w:lang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pStyle w:val="57"/>
            </w:pPr>
          </w:p>
          <w:p>
            <w:pPr>
              <w:tabs>
                <w:tab w:val="left" w:pos="-720"/>
              </w:tabs>
              <w:suppressAutoHyphens/>
              <w:spacing w:after="0" w:line="240" w:lineRule="auto"/>
              <w:ind w:left="720"/>
              <w:jc w:val="both"/>
              <w:rPr>
                <w:rFonts w:ascii="Calibri" w:hAnsi="Calibri" w:eastAsia="Times New Roman" w:cs="Times New Roman"/>
                <w:szCs w:val="20"/>
                <w:lang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774"/>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b/>
                <w:spacing w:val="-3"/>
                <w:sz w:val="20"/>
                <w:lang w:val="es-ES" w:eastAsia="hi-IN" w:bidi="hi-IN"/>
              </w:rPr>
              <w:t>Residentes de Obra: Máximo 8 puntos (4 puntos por cada uno que cumpla lo requerido)</w:t>
            </w:r>
          </w:p>
          <w:p>
            <w:pPr>
              <w:tabs>
                <w:tab w:val="left" w:pos="15"/>
              </w:tabs>
              <w:suppressAutoHyphens/>
              <w:spacing w:after="0" w:line="240" w:lineRule="auto"/>
              <w:ind w:left="769" w:right="96"/>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profesionales propuestos que, con un máximo de 3 obras de PAVIMENTO FLEXIBLE (carpeta asfáltica en vías) realizadas en los últimos 10 años justifiquen El 60% DEL PRESUPUESTO REFERENCIAL SE LES ACREDITARÁ LA TOTALIDAD DE LOS PUNTOS, A LOS DEMÁS SE LES OTORGARÁ EL PUNTAJE DE MANERA PROPORCIONAL. La experiencia se acreditará únicamente en obras concluidas.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NO SE CONSIDERARAN LA O LAS EXPERIENCIAS PRESENTADAS EN LA ETAPA DE EVALUACIÓN MEDIANTE LA METODOLOGÍA DE CHECK LIST.</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La experiencia se acreditará siempre y cuando haya participado como </w:t>
            </w:r>
            <w:r>
              <w:rPr>
                <w:rFonts w:ascii="Arial" w:hAnsi="Arial" w:eastAsia="Arial Unicode MS" w:cs="Arial"/>
                <w:bCs/>
                <w:sz w:val="20"/>
                <w:lang w:val="es-ES" w:eastAsia="ar-SA"/>
              </w:rPr>
              <w:t>Contratista, Fiscalizador, Superintendente, Supervisor, Residente de obra y/o de Fiscalización, Jefe o Director Técnico o Subcontratista</w:t>
            </w:r>
            <w:r>
              <w:rPr>
                <w:rFonts w:ascii="Arial" w:hAnsi="Arial" w:eastAsia="Times New Roman" w:cs="Arial"/>
                <w:spacing w:val="-3"/>
                <w:sz w:val="20"/>
                <w:lang w:val="es-ES" w:eastAsia="hi-IN" w:bidi="hi-IN"/>
              </w:rPr>
              <w:t xml:space="preserve">de obras similares, </w:t>
            </w:r>
            <w:r>
              <w:rPr>
                <w:rFonts w:ascii="Arial" w:hAnsi="Arial" w:eastAsia="Arial Unicode MS" w:cs="Arial"/>
                <w:bCs/>
                <w:sz w:val="20"/>
                <w:lang w:val="es-ES" w:eastAsia="ar-SA"/>
              </w:rPr>
              <w:t>entendiéndose como obra similar: Pavimento Flexible (Carpeta asfáltica en vías)</w:t>
            </w:r>
            <w:r>
              <w:rPr>
                <w:rFonts w:ascii="Arial" w:hAnsi="Arial" w:eastAsia="Times New Roman" w:cs="Arial"/>
                <w:spacing w:val="-3"/>
                <w:sz w:val="20"/>
                <w:lang w:val="es-ES" w:eastAsia="hi-IN" w:bidi="hi-IN"/>
              </w:rPr>
              <w:t>.</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del residente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suppressAutoHyphens/>
              <w:spacing w:after="0" w:line="240" w:lineRule="auto"/>
              <w:ind w:left="720"/>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ind w:left="777" w:hanging="425"/>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pStyle w:val="57"/>
              <w:rPr>
                <w:rFonts w:ascii="Arial" w:hAnsi="Arial" w:cs="Arial"/>
                <w:spacing w:val="-3"/>
                <w:sz w:val="20"/>
                <w:lang w:val="es-ES"/>
              </w:rPr>
            </w:pPr>
          </w:p>
          <w:p>
            <w:pPr>
              <w:numPr>
                <w:ilvl w:val="0"/>
                <w:numId w:val="8"/>
              </w:numPr>
              <w:tabs>
                <w:tab w:val="left" w:pos="-720"/>
              </w:tabs>
              <w:suppressAutoHyphens/>
              <w:spacing w:after="0" w:line="240" w:lineRule="auto"/>
              <w:ind w:left="777"/>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participado en calidad de </w:t>
            </w:r>
            <w:r>
              <w:rPr>
                <w:rFonts w:ascii="Arial" w:hAnsi="Arial" w:eastAsia="Times New Roman" w:cs="Arial"/>
                <w:b/>
                <w:i/>
                <w:spacing w:val="-3"/>
                <w:sz w:val="20"/>
                <w:lang w:val="es-ES" w:eastAsia="hi-IN" w:bidi="hi-IN"/>
              </w:rPr>
              <w:t>Fiscalizador</w:t>
            </w:r>
            <w:r>
              <w:rPr>
                <w:rFonts w:ascii="Arial" w:hAnsi="Arial" w:eastAsia="Times New Roman" w:cs="Arial"/>
                <w:i/>
                <w:spacing w:val="-3"/>
                <w:sz w:val="20"/>
                <w:lang w:val="es-ES" w:eastAsia="hi-IN" w:bidi="hi-IN"/>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eastAsia="Times New Roman" w:cs="Arial"/>
                <w:spacing w:val="-3"/>
                <w:sz w:val="20"/>
                <w:lang w:val="es-ES" w:eastAsia="hi-IN" w:bidi="hi-IN"/>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eastAsia="Times New Roman" w:cs="Arial"/>
                <w:i/>
                <w:spacing w:val="-3"/>
                <w:sz w:val="20"/>
                <w:lang w:val="es-ES" w:eastAsia="hi-IN" w:bidi="hi-IN"/>
              </w:rPr>
              <w:t xml:space="preserve">(No se aceptarán certificaciones otorgadas por el Fiscalizador de la obra, </w:t>
            </w:r>
            <w:r>
              <w:rPr>
                <w:rFonts w:ascii="Arial" w:hAnsi="Arial" w:eastAsia="Times New Roman" w:cs="Arial"/>
                <w:spacing w:val="-3"/>
                <w:sz w:val="20"/>
                <w:lang w:val="es-ES" w:eastAsia="hi-IN" w:bidi="hi-IN"/>
              </w:rPr>
              <w:t>o por el Administrador del Contrato. En el caso de trabajos realizados para el sector privado, el certificado deberá estar suscrito por el Gerente o Representante Legal de la entidad contratante</w:t>
            </w:r>
            <w:r>
              <w:rPr>
                <w:rFonts w:ascii="Arial" w:hAnsi="Arial" w:eastAsia="Times New Roman" w:cs="Arial"/>
                <w:i/>
                <w:spacing w:val="-3"/>
                <w:sz w:val="20"/>
                <w:lang w:val="es-ES" w:eastAsia="hi-IN" w:bidi="hi-IN"/>
              </w:rPr>
              <w:t>. Certificaciones o actas con relación de dependencia del sector público o privado, se valorará el 40% de monto certificado.</w:t>
            </w:r>
          </w:p>
          <w:p>
            <w:pPr>
              <w:pStyle w:val="57"/>
              <w:rPr>
                <w:rFonts w:ascii="Arial" w:hAnsi="Arial" w:cs="Arial"/>
                <w:i/>
                <w:spacing w:val="-3"/>
                <w:sz w:val="20"/>
                <w:lang w:val="es-ES"/>
              </w:rPr>
            </w:pPr>
          </w:p>
          <w:p>
            <w:pPr>
              <w:tabs>
                <w:tab w:val="left" w:pos="-720"/>
              </w:tabs>
              <w:suppressAutoHyphens/>
              <w:spacing w:after="0" w:line="240" w:lineRule="auto"/>
              <w:jc w:val="both"/>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Si el profesional ha participado en calidad de</w:t>
            </w:r>
            <w:r>
              <w:rPr>
                <w:rFonts w:ascii="Arial" w:hAnsi="Arial" w:eastAsia="Arial Unicode MS" w:cs="Arial"/>
                <w:bCs/>
                <w:sz w:val="20"/>
                <w:lang w:val="es-ES" w:eastAsia="ar-SA"/>
              </w:rPr>
              <w:t xml:space="preserve"> </w:t>
            </w:r>
            <w:r>
              <w:rPr>
                <w:rFonts w:ascii="Arial" w:hAnsi="Arial" w:eastAsia="Arial Unicode MS" w:cs="Arial"/>
                <w:b/>
                <w:bCs/>
                <w:sz w:val="20"/>
                <w:lang w:val="es-ES" w:eastAsia="ar-SA"/>
              </w:rPr>
              <w:t xml:space="preserve">Superintendente, Supervisor, Residente de obra y/o de Fiscalización, Jefe o Director Técnico </w:t>
            </w:r>
            <w:r>
              <w:rPr>
                <w:rFonts w:ascii="Arial" w:hAnsi="Arial" w:eastAsia="Times New Roman" w:cs="Arial"/>
                <w:b/>
                <w:spacing w:val="-3"/>
                <w:sz w:val="20"/>
                <w:lang w:val="es-ES" w:eastAsia="hi-IN" w:bidi="hi-IN"/>
              </w:rPr>
              <w:t>de obras similares</w:t>
            </w:r>
            <w:r>
              <w:rPr>
                <w:rFonts w:ascii="Arial" w:hAnsi="Arial" w:eastAsia="Times New Roman" w:cs="Arial"/>
                <w:spacing w:val="-3"/>
                <w:sz w:val="20"/>
                <w:lang w:val="es-ES" w:eastAsia="hi-IN" w:bidi="hi-IN"/>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w:t>
            </w:r>
            <w:r>
              <w:rPr>
                <w:rFonts w:ascii="Arial" w:hAnsi="Arial" w:eastAsia="Arial Unicode MS" w:cs="Arial"/>
                <w:bCs/>
                <w:sz w:val="20"/>
                <w:lang w:val="es-ES" w:eastAsia="ar-SA"/>
              </w:rPr>
              <w:t>o técnico debidamente acreditado</w:t>
            </w:r>
            <w:r>
              <w:rPr>
                <w:rFonts w:ascii="Arial" w:hAnsi="Arial" w:eastAsia="Times New Roman" w:cs="Arial"/>
                <w:spacing w:val="-3"/>
                <w:sz w:val="20"/>
                <w:lang w:val="es-ES" w:eastAsia="hi-IN" w:bidi="hi-IN"/>
              </w:rPr>
              <w:t xml:space="preserve"> 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cs="Arial"/>
                <w:i/>
                <w:spacing w:val="-3"/>
                <w:sz w:val="20"/>
                <w:lang w:val="es-ES"/>
              </w:rPr>
              <w:t>Certificaciones o actas con relación de dependencia del sector público o privado, se valorará el 40% de monto certificado.</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Especialista Ambiental (2 puntos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Se otorgará un punto por cada proyecto de mitigación y control ambiental (al menos uno de ellos en obras viales) en el cual haya participado por un mínimo de tres meses en cada proyecto (máximo 2 puntos). La experiencia se acreditará únicamente en obras concluidas.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Serán válidos certificados o actas conferidas por autoridad competente.</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NO SE CONSIDERARÁ PARA EL PUNTAJE, LA EXPERIENCIA PRESENTADA EN LA ETAPA DE EVALUACIÓN MEDIANTE LA METODOLOGIA DE CHECK LIST </w:t>
            </w:r>
          </w:p>
          <w:p>
            <w:pPr>
              <w:tabs>
                <w:tab w:val="left" w:pos="15"/>
              </w:tabs>
              <w:suppressAutoHyphens/>
              <w:spacing w:after="0" w:line="240" w:lineRule="auto"/>
              <w:jc w:val="both"/>
              <w:rPr>
                <w:rFonts w:ascii="Arial" w:hAnsi="Arial" w:eastAsia="Times New Roman" w:cs="Arial"/>
                <w:spacing w:val="-3"/>
                <w:sz w:val="20"/>
                <w:lang w:val="es-ES"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auto"/>
            <w:vAlign w:val="center"/>
          </w:tcPr>
          <w:p>
            <w:pPr>
              <w:suppressAutoHyphens/>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Oferta económica</w:t>
            </w:r>
          </w:p>
          <w:p>
            <w:pPr>
              <w:suppressAutoHyphens/>
              <w:spacing w:after="0" w:line="240" w:lineRule="auto"/>
              <w:jc w:val="center"/>
              <w:rPr>
                <w:rFonts w:ascii="Arial" w:hAnsi="Arial" w:eastAsia="Times New Roman" w:cs="Arial"/>
                <w:b/>
                <w:bCs/>
                <w:spacing w:val="-3"/>
                <w:sz w:val="20"/>
                <w:lang w:eastAsia="hi-IN" w:bidi="hi-IN"/>
              </w:rPr>
            </w:pPr>
            <w:r>
              <w:rPr>
                <w:rFonts w:ascii="Arial" w:hAnsi="Arial" w:eastAsia="Times New Roman" w:cs="Arial"/>
                <w:sz w:val="20"/>
                <w:lang w:eastAsia="hi-IN" w:bidi="hi-IN"/>
              </w:rPr>
              <w:t>(55 Puntos)</w:t>
            </w:r>
          </w:p>
        </w:tc>
        <w:tc>
          <w:tcPr>
            <w:tcW w:w="6810" w:type="dxa"/>
            <w:shd w:val="clear" w:color="auto" w:fill="auto"/>
          </w:tcPr>
          <w:p>
            <w:pPr>
              <w:suppressLineNumbers/>
              <w:suppressAutoHyphens/>
              <w:snapToGrid w:val="0"/>
              <w:spacing w:after="0" w:line="240" w:lineRule="auto"/>
              <w:jc w:val="both"/>
              <w:rPr>
                <w:rFonts w:ascii="Arial" w:hAnsi="Arial" w:eastAsia="Times New Roman" w:cs="Arial"/>
                <w:sz w:val="20"/>
                <w:lang w:eastAsia="hi-IN" w:bidi="hi-IN"/>
              </w:rPr>
            </w:pPr>
          </w:p>
          <w:p>
            <w:pPr>
              <w:suppressLineNumbers/>
              <w:suppressAutoHyphens/>
              <w:snapToGrid w:val="0"/>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La oferta económica se evaluará sobre un máximo de 55 puntos, aplicando un criterio inversamente proporcional; a menor precio, mayor puntaje. En caso de que existan errores aritméticos en la oferta económica, la Comisión Administrativa de Evaluación y Adjudicación  procederá a su corrección conforme lo previsto en la Resolución expedida por el SERCOP para el efecto.</w:t>
            </w:r>
          </w:p>
          <w:p>
            <w:pPr>
              <w:suppressLineNumbers/>
              <w:suppressAutoHyphens/>
              <w:snapToGrid w:val="0"/>
              <w:spacing w:after="0" w:line="240" w:lineRule="auto"/>
              <w:jc w:val="both"/>
              <w:rPr>
                <w:rFonts w:ascii="Arial" w:hAnsi="Arial" w:eastAsia="Times New Roman" w:cs="Arial"/>
                <w:sz w:val="20"/>
                <w:lang w:eastAsia="hi-IN" w:bidi="hi-IN"/>
              </w:rPr>
            </w:pPr>
          </w:p>
          <w:p>
            <w:pPr>
              <w:suppressLineNumbers/>
              <w:suppressAutoHyphens/>
              <w:snapToGrid w:val="0"/>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La evaluación de la oferta económica se efectuará aplicando el “precio corregido” en caso de que hubiera sido necesario establecerlo, para lo cual se procederá de acuerdo a la Normativa vigente para la Contratación Pública.</w:t>
            </w:r>
          </w:p>
        </w:tc>
      </w:tr>
    </w:tbl>
    <w:p>
      <w:pPr>
        <w:suppressAutoHyphens/>
        <w:spacing w:after="0" w:line="240" w:lineRule="auto"/>
        <w:jc w:val="both"/>
        <w:rPr>
          <w:rFonts w:ascii="Arial" w:hAnsi="Arial" w:eastAsia="Times New Roman" w:cs="Arial"/>
          <w:b/>
          <w:bCs/>
          <w:spacing w:val="-3"/>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Para la valoración se observarán los siguientes criterios:</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rPr>
          <w:rFonts w:ascii="Arial" w:hAnsi="Arial" w:eastAsia="Times New Roman" w:cs="Arial"/>
          <w:sz w:val="20"/>
          <w:lang w:eastAsia="hi-IN" w:bidi="hi-IN"/>
        </w:rPr>
      </w:pPr>
    </w:p>
    <w:tbl>
      <w:tblPr>
        <w:tblStyle w:val="46"/>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D9D9D9"/>
          </w:tcPr>
          <w:p>
            <w:pPr>
              <w:suppressAutoHyphens/>
              <w:spacing w:after="0" w:line="240" w:lineRule="auto"/>
              <w:jc w:val="center"/>
              <w:rPr>
                <w:rFonts w:ascii="Arial" w:hAnsi="Arial" w:eastAsia="Times New Roman" w:cs="Arial"/>
                <w:lang w:eastAsia="hi-IN" w:bidi="hi-IN"/>
              </w:rPr>
            </w:pPr>
            <w:r>
              <w:rPr>
                <w:rFonts w:ascii="Arial" w:hAnsi="Arial" w:eastAsia="Times New Roman" w:cs="Arial"/>
                <w:b/>
                <w:bCs/>
                <w:sz w:val="20"/>
                <w:lang w:eastAsia="hi-IN" w:bidi="hi-IN"/>
              </w:rPr>
              <w:t>Parámetro</w:t>
            </w:r>
          </w:p>
        </w:tc>
        <w:tc>
          <w:tcPr>
            <w:tcW w:w="2763" w:type="dxa"/>
            <w:shd w:val="clear" w:color="auto" w:fill="D9D9D9"/>
          </w:tcPr>
          <w:p>
            <w:pPr>
              <w:suppressAutoHyphens/>
              <w:spacing w:after="0" w:line="240" w:lineRule="auto"/>
              <w:jc w:val="center"/>
              <w:rPr>
                <w:rFonts w:ascii="Arial" w:hAnsi="Arial" w:eastAsia="Times New Roman" w:cs="Arial"/>
                <w:lang w:eastAsia="hi-IN" w:bidi="hi-IN"/>
              </w:rPr>
            </w:pPr>
            <w:r>
              <w:rPr>
                <w:rFonts w:ascii="Arial" w:hAnsi="Arial" w:eastAsia="Times New Roman" w:cs="Arial"/>
                <w:b/>
                <w:bCs/>
                <w:sz w:val="20"/>
                <w:lang w:eastAsia="hi-IN" w:bidi="hi-IN"/>
              </w:rPr>
              <w:t>Valoración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auto"/>
          </w:tcPr>
          <w:p>
            <w:pPr>
              <w:suppressAutoHyphens/>
              <w:spacing w:after="0" w:line="240" w:lineRule="auto"/>
              <w:rPr>
                <w:rFonts w:ascii="Arial" w:hAnsi="Arial" w:eastAsia="Times New Roman" w:cs="Arial"/>
                <w:lang w:eastAsia="hi-IN" w:bidi="hi-IN"/>
              </w:rPr>
            </w:pPr>
            <w:r>
              <w:rPr>
                <w:rFonts w:ascii="Arial" w:hAnsi="Arial" w:eastAsia="Times New Roman" w:cs="Arial"/>
                <w:sz w:val="20"/>
                <w:lang w:eastAsia="hi-IN" w:bidi="hi-IN"/>
              </w:rPr>
              <w:t>Experiencia específica</w:t>
            </w:r>
          </w:p>
        </w:tc>
        <w:tc>
          <w:tcPr>
            <w:tcW w:w="2763" w:type="dxa"/>
            <w:shd w:val="clear" w:color="auto" w:fill="auto"/>
          </w:tcPr>
          <w:p>
            <w:pPr>
              <w:suppressAutoHyphens/>
              <w:spacing w:after="0" w:line="240" w:lineRule="auto"/>
              <w:jc w:val="center"/>
              <w:rPr>
                <w:rFonts w:ascii="Arial" w:hAnsi="Arial" w:eastAsia="Times New Roman" w:cs="Arial"/>
                <w:lang w:eastAsia="hi-IN" w:bidi="hi-IN"/>
              </w:rPr>
            </w:pPr>
            <w:r>
              <w:rPr>
                <w:rFonts w:ascii="Arial" w:hAnsi="Arial" w:eastAsia="Times New Roman" w:cs="Arial"/>
                <w:lang w:eastAsia="hi-IN" w:bidi="hi-IN"/>
              </w:rPr>
              <w:t>25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auto"/>
          </w:tcPr>
          <w:p>
            <w:pPr>
              <w:suppressAutoHyphens/>
              <w:spacing w:after="0" w:line="240" w:lineRule="auto"/>
              <w:rPr>
                <w:rFonts w:ascii="Arial" w:hAnsi="Arial" w:eastAsia="Times New Roman" w:cs="Arial"/>
                <w:lang w:eastAsia="hi-IN" w:bidi="hi-IN"/>
              </w:rPr>
            </w:pPr>
            <w:r>
              <w:rPr>
                <w:rFonts w:ascii="Arial" w:hAnsi="Arial" w:eastAsia="Times New Roman" w:cs="Arial"/>
                <w:sz w:val="20"/>
                <w:lang w:eastAsia="hi-IN" w:bidi="hi-IN"/>
              </w:rPr>
              <w:t>Experiencia del personal técnico</w:t>
            </w:r>
          </w:p>
        </w:tc>
        <w:tc>
          <w:tcPr>
            <w:tcW w:w="2763" w:type="dxa"/>
            <w:shd w:val="clear" w:color="auto" w:fill="auto"/>
          </w:tcPr>
          <w:p>
            <w:pPr>
              <w:suppressAutoHyphens/>
              <w:spacing w:after="0" w:line="240" w:lineRule="auto"/>
              <w:jc w:val="center"/>
              <w:rPr>
                <w:rFonts w:ascii="Arial" w:hAnsi="Arial" w:eastAsia="Times New Roman" w:cs="Arial"/>
                <w:lang w:eastAsia="hi-IN" w:bidi="hi-IN"/>
              </w:rPr>
            </w:pPr>
            <w:r>
              <w:rPr>
                <w:rFonts w:ascii="Arial" w:hAnsi="Arial" w:eastAsia="Times New Roman" w:cs="Arial"/>
                <w:lang w:eastAsia="hi-IN" w:bidi="hi-IN"/>
              </w:rPr>
              <w:t>20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auto"/>
          </w:tcPr>
          <w:p>
            <w:pPr>
              <w:suppressAutoHyphens/>
              <w:spacing w:after="0" w:line="240" w:lineRule="auto"/>
              <w:rPr>
                <w:rFonts w:ascii="Arial" w:hAnsi="Arial" w:eastAsia="Times New Roman" w:cs="Arial"/>
                <w:lang w:eastAsia="hi-IN" w:bidi="hi-IN"/>
              </w:rPr>
            </w:pPr>
            <w:r>
              <w:rPr>
                <w:rFonts w:ascii="Arial" w:hAnsi="Arial" w:eastAsia="Times New Roman" w:cs="Arial"/>
                <w:sz w:val="20"/>
                <w:lang w:eastAsia="hi-IN" w:bidi="hi-IN"/>
              </w:rPr>
              <w:t>Oferta económica</w:t>
            </w:r>
          </w:p>
        </w:tc>
        <w:tc>
          <w:tcPr>
            <w:tcW w:w="2763" w:type="dxa"/>
            <w:shd w:val="clear" w:color="auto" w:fill="auto"/>
          </w:tcPr>
          <w:p>
            <w:pPr>
              <w:suppressAutoHyphens/>
              <w:spacing w:after="0" w:line="240" w:lineRule="auto"/>
              <w:jc w:val="center"/>
              <w:rPr>
                <w:rFonts w:ascii="Arial" w:hAnsi="Arial" w:eastAsia="Times New Roman" w:cs="Arial"/>
                <w:lang w:eastAsia="hi-IN" w:bidi="hi-IN"/>
              </w:rPr>
            </w:pPr>
            <w:r>
              <w:rPr>
                <w:rFonts w:ascii="Arial" w:hAnsi="Arial" w:eastAsia="Times New Roman" w:cs="Arial"/>
                <w:lang w:eastAsia="hi-IN" w:bidi="hi-IN"/>
              </w:rPr>
              <w:t>55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433" w:type="dxa"/>
            <w:shd w:val="clear" w:color="auto" w:fill="D9D9D9"/>
            <w:vAlign w:val="center"/>
          </w:tcPr>
          <w:p>
            <w:pPr>
              <w:suppressAutoHyphens/>
              <w:spacing w:after="0" w:line="240" w:lineRule="auto"/>
              <w:jc w:val="center"/>
              <w:rPr>
                <w:rFonts w:ascii="Arial" w:hAnsi="Arial" w:eastAsia="Times New Roman" w:cs="Arial"/>
                <w:b/>
                <w:lang w:eastAsia="hi-IN" w:bidi="hi-IN"/>
              </w:rPr>
            </w:pPr>
            <w:r>
              <w:rPr>
                <w:rFonts w:ascii="Arial" w:hAnsi="Arial" w:eastAsia="Times New Roman" w:cs="Arial"/>
                <w:b/>
                <w:sz w:val="20"/>
                <w:lang w:eastAsia="hi-IN" w:bidi="hi-IN"/>
              </w:rPr>
              <w:t>TOTAL</w:t>
            </w:r>
          </w:p>
        </w:tc>
        <w:tc>
          <w:tcPr>
            <w:tcW w:w="2763" w:type="dxa"/>
            <w:shd w:val="clear" w:color="auto" w:fill="D9D9D9"/>
            <w:vAlign w:val="center"/>
          </w:tcPr>
          <w:p>
            <w:pPr>
              <w:suppressAutoHyphens/>
              <w:spacing w:after="0" w:line="240" w:lineRule="auto"/>
              <w:jc w:val="center"/>
              <w:rPr>
                <w:rFonts w:ascii="Arial" w:hAnsi="Arial" w:eastAsia="Times New Roman" w:cs="Arial"/>
                <w:b/>
                <w:lang w:eastAsia="hi-IN" w:bidi="hi-IN"/>
              </w:rPr>
            </w:pPr>
            <w:r>
              <w:rPr>
                <w:rFonts w:ascii="Arial" w:hAnsi="Arial" w:eastAsia="Times New Roman" w:cs="Arial"/>
                <w:b/>
                <w:sz w:val="20"/>
                <w:lang w:eastAsia="hi-IN" w:bidi="hi-IN"/>
              </w:rPr>
              <w:t>100 puntos</w:t>
            </w:r>
          </w:p>
        </w:tc>
      </w:tr>
    </w:tbl>
    <w:p>
      <w:pPr>
        <w:suppressAutoHyphens/>
        <w:spacing w:after="0" w:line="240" w:lineRule="auto"/>
        <w:rPr>
          <w:rFonts w:ascii="Times New Roman" w:hAnsi="Times New Roman" w:eastAsia="Times New Roman" w:cs="Times New Roman"/>
          <w:vanish/>
          <w:szCs w:val="20"/>
          <w:lang w:eastAsia="hi-IN" w:bidi="hi-IN"/>
        </w:rPr>
      </w:pPr>
    </w:p>
    <w:p>
      <w:pPr>
        <w:tabs>
          <w:tab w:val="left" w:pos="-540"/>
        </w:tabs>
        <w:suppressAutoHyphens/>
        <w:spacing w:after="0" w:line="240" w:lineRule="auto"/>
        <w:jc w:val="both"/>
        <w:rPr>
          <w:rFonts w:ascii="Arial" w:hAnsi="Arial" w:eastAsia="Times New Roman" w:cs="Arial"/>
          <w:b/>
          <w:spacing w:val="-2"/>
          <w:sz w:val="20"/>
          <w:lang w:val="es-ES" w:eastAsia="hi-IN" w:bidi="hi-IN"/>
        </w:rPr>
      </w:pPr>
    </w:p>
    <w:p>
      <w:pPr>
        <w:tabs>
          <w:tab w:val="left" w:pos="-540"/>
        </w:tabs>
        <w:suppressAutoHyphens/>
        <w:spacing w:after="0" w:line="240" w:lineRule="auto"/>
        <w:jc w:val="both"/>
        <w:rPr>
          <w:rFonts w:ascii="Arial" w:hAnsi="Arial" w:eastAsia="Times New Roman" w:cs="Arial"/>
          <w:b/>
          <w:spacing w:val="-2"/>
          <w:sz w:val="20"/>
          <w:lang w:val="es-ES" w:eastAsia="hi-IN" w:bidi="hi-IN"/>
        </w:rPr>
      </w:pPr>
    </w:p>
    <w:p>
      <w:pPr>
        <w:spacing w:after="0"/>
        <w:jc w:val="center"/>
        <w:rPr>
          <w:rFonts w:ascii="Arial" w:hAnsi="Arial" w:eastAsia="Times New Roman" w:cs="Arial"/>
          <w:b/>
          <w:spacing w:val="-2"/>
          <w:sz w:val="20"/>
          <w:lang w:eastAsia="hi-IN" w:bidi="hi-IN"/>
        </w:rPr>
      </w:pPr>
    </w:p>
    <w:p>
      <w:pPr>
        <w:spacing w:after="0"/>
        <w:jc w:val="center"/>
        <w:rPr>
          <w:rFonts w:ascii="Arial" w:hAnsi="Arial" w:eastAsia="Times New Roman" w:cs="Arial"/>
          <w:b/>
          <w:spacing w:val="-2"/>
          <w:sz w:val="20"/>
          <w:lang w:eastAsia="hi-IN" w:bidi="hi-IN"/>
        </w:rPr>
      </w:pPr>
    </w:p>
    <w:p>
      <w:pPr>
        <w:rPr>
          <w:rFonts w:ascii="Arial" w:hAnsi="Arial" w:eastAsia="Times New Roman" w:cs="Arial"/>
          <w:sz w:val="20"/>
          <w:lang w:eastAsia="hi-IN" w:bidi="hi-IN"/>
        </w:rPr>
      </w:pPr>
    </w:p>
    <w:p>
      <w:pPr>
        <w:rPr>
          <w:rFonts w:ascii="Arial" w:hAnsi="Arial" w:eastAsia="Times New Roman" w:cs="Arial"/>
          <w:sz w:val="20"/>
          <w:lang w:eastAsia="hi-IN" w:bidi="hi-IN"/>
        </w:rPr>
      </w:pPr>
    </w:p>
    <w:p>
      <w:pPr>
        <w:rPr>
          <w:rFonts w:ascii="Arial" w:hAnsi="Arial" w:eastAsia="Times New Roman" w:cs="Arial"/>
          <w:sz w:val="20"/>
          <w:lang w:eastAsia="hi-IN" w:bidi="hi-IN"/>
        </w:rPr>
      </w:pPr>
    </w:p>
    <w:p>
      <w:pPr>
        <w:rPr>
          <w:rFonts w:ascii="Arial" w:hAnsi="Arial" w:eastAsia="Times New Roman" w:cs="Arial"/>
          <w:sz w:val="20"/>
          <w:lang w:eastAsia="hi-IN" w:bidi="hi-IN"/>
        </w:rPr>
      </w:pPr>
    </w:p>
    <w:p>
      <w:pPr>
        <w:spacing w:after="0"/>
        <w:jc w:val="center"/>
        <w:rPr>
          <w:rFonts w:ascii="Arial" w:hAnsi="Arial" w:eastAsia="Times New Roman" w:cs="Arial"/>
          <w:sz w:val="20"/>
          <w:lang w:eastAsia="hi-IN" w:bidi="hi-IN"/>
        </w:rPr>
      </w:pPr>
    </w:p>
    <w:p>
      <w:pPr>
        <w:spacing w:after="0"/>
        <w:jc w:val="center"/>
        <w:rPr>
          <w:rFonts w:ascii="Arial" w:hAnsi="Arial" w:eastAsia="Times New Roman" w:cs="Arial"/>
          <w:sz w:val="20"/>
          <w:lang w:eastAsia="hi-IN" w:bidi="hi-IN"/>
        </w:rPr>
      </w:pPr>
    </w:p>
    <w:p>
      <w:pPr>
        <w:tabs>
          <w:tab w:val="left" w:pos="8004"/>
        </w:tabs>
        <w:spacing w:after="0"/>
        <w:rPr>
          <w:rFonts w:ascii="Arial" w:hAnsi="Arial" w:eastAsia="Times New Roman" w:cs="Arial"/>
          <w:sz w:val="20"/>
          <w:lang w:eastAsia="hi-IN" w:bidi="hi-IN"/>
        </w:rPr>
      </w:pPr>
      <w:r>
        <w:rPr>
          <w:rFonts w:ascii="Arial" w:hAnsi="Arial" w:eastAsia="Times New Roman" w:cs="Arial"/>
          <w:sz w:val="20"/>
          <w:lang w:eastAsia="hi-IN" w:bidi="hi-IN"/>
        </w:rPr>
        <w:tab/>
      </w:r>
    </w:p>
    <w:p>
      <w:pPr>
        <w:spacing w:after="0"/>
        <w:jc w:val="center"/>
        <w:rPr>
          <w:rFonts w:ascii="Arial" w:hAnsi="Arial" w:eastAsia="Times New Roman" w:cs="Arial"/>
          <w:b/>
          <w:spacing w:val="-2"/>
          <w:szCs w:val="24"/>
          <w:lang w:eastAsia="hi-IN" w:bidi="hi-IN"/>
        </w:rPr>
      </w:pPr>
      <w:r>
        <w:rPr>
          <w:rFonts w:ascii="Arial" w:hAnsi="Arial" w:eastAsia="Times New Roman" w:cs="Arial"/>
          <w:sz w:val="20"/>
          <w:lang w:eastAsia="hi-IN" w:bidi="hi-IN"/>
        </w:rPr>
        <w:br w:type="page"/>
      </w:r>
      <w:r>
        <w:rPr>
          <w:rFonts w:ascii="Arial" w:hAnsi="Arial" w:eastAsia="Times New Roman" w:cs="Arial"/>
          <w:b/>
          <w:spacing w:val="-2"/>
          <w:szCs w:val="24"/>
          <w:lang w:eastAsia="hi-IN" w:bidi="hi-IN"/>
        </w:rPr>
        <w:t>SECCIÓN V</w:t>
      </w:r>
    </w:p>
    <w:p>
      <w:pPr>
        <w:tabs>
          <w:tab w:val="left" w:pos="-540"/>
        </w:tabs>
        <w:suppressAutoHyphens/>
        <w:spacing w:after="0" w:line="240" w:lineRule="auto"/>
        <w:jc w:val="center"/>
        <w:rPr>
          <w:rFonts w:ascii="Arial" w:hAnsi="Arial" w:eastAsia="Times New Roman" w:cs="Arial"/>
          <w:b/>
          <w:spacing w:val="-2"/>
          <w:szCs w:val="24"/>
          <w:lang w:eastAsia="hi-IN" w:bidi="hi-IN"/>
        </w:rPr>
      </w:pPr>
    </w:p>
    <w:p>
      <w:pPr>
        <w:tabs>
          <w:tab w:val="left" w:pos="-540"/>
        </w:tabs>
        <w:suppressAutoHyphens/>
        <w:spacing w:after="0" w:line="240" w:lineRule="auto"/>
        <w:jc w:val="center"/>
        <w:rPr>
          <w:rFonts w:ascii="Arial" w:hAnsi="Arial" w:eastAsia="Times New Roman" w:cs="Arial"/>
          <w:b/>
          <w:spacing w:val="-2"/>
          <w:szCs w:val="24"/>
          <w:lang w:eastAsia="hi-IN" w:bidi="hi-IN"/>
        </w:rPr>
      </w:pPr>
      <w:r>
        <w:rPr>
          <w:rFonts w:ascii="Arial" w:hAnsi="Arial" w:eastAsia="Times New Roman" w:cs="Arial"/>
          <w:b/>
          <w:spacing w:val="-2"/>
          <w:szCs w:val="24"/>
          <w:lang w:eastAsia="hi-IN" w:bidi="hi-IN"/>
        </w:rPr>
        <w:t>OBLIGACIONES DE LAS PARTES</w:t>
      </w:r>
    </w:p>
    <w:p>
      <w:pPr>
        <w:tabs>
          <w:tab w:val="left" w:pos="-540"/>
        </w:tabs>
        <w:suppressAutoHyphens/>
        <w:spacing w:after="0" w:line="240" w:lineRule="auto"/>
        <w:jc w:val="both"/>
        <w:rPr>
          <w:rFonts w:ascii="Arial" w:hAnsi="Arial" w:eastAsia="Times New Roman" w:cs="Arial"/>
          <w:b/>
          <w:spacing w:val="-2"/>
          <w:sz w:val="20"/>
          <w:lang w:eastAsia="hi-IN" w:bidi="hi-IN"/>
        </w:rPr>
      </w:pPr>
    </w:p>
    <w:p>
      <w:pPr>
        <w:tabs>
          <w:tab w:val="left" w:pos="-540"/>
        </w:tabs>
        <w:suppressAutoHyphens/>
        <w:spacing w:after="0" w:line="240" w:lineRule="auto"/>
        <w:jc w:val="both"/>
        <w:rPr>
          <w:rFonts w:ascii="Arial" w:hAnsi="Arial" w:eastAsia="Times New Roman" w:cs="Arial"/>
          <w:sz w:val="20"/>
          <w:lang w:eastAsia="hi-IN" w:bidi="hi-IN"/>
        </w:rPr>
      </w:pPr>
      <w:r>
        <w:rPr>
          <w:rFonts w:ascii="Arial" w:hAnsi="Arial" w:eastAsia="Times New Roman" w:cs="Arial"/>
          <w:b/>
          <w:spacing w:val="-2"/>
          <w:sz w:val="20"/>
          <w:lang w:eastAsia="hi-IN" w:bidi="hi-IN"/>
        </w:rPr>
        <w:t>5.1.</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Obligaciones del Contratista: </w:t>
      </w:r>
      <w:r>
        <w:rPr>
          <w:rFonts w:ascii="Arial" w:hAnsi="Arial" w:eastAsia="Times New Roman" w:cs="Arial"/>
          <w:sz w:val="20"/>
          <w:lang w:eastAsia="hi-IN" w:bidi="hi-IN"/>
        </w:rPr>
        <w:t xml:space="preserve">El contratista preparará las planillas mensuales, las cuales se pondrán a consideración de la fiscalización en el primer día laborable de cada mes, y serán analizadas y de ser procedente aprobadas por él, en el término de 4 días, luego de lo cual, en forma inmediata, se continuará el trámite de autorización del administrador del contrato y solo con dicha autorización se procederá al pago. </w:t>
      </w:r>
    </w:p>
    <w:p>
      <w:pPr>
        <w:autoSpaceDE w:val="0"/>
        <w:autoSpaceDN w:val="0"/>
        <w:adjustRightInd w:val="0"/>
        <w:spacing w:after="0" w:line="240" w:lineRule="auto"/>
        <w:jc w:val="both"/>
        <w:rPr>
          <w:rFonts w:ascii="Arial" w:hAnsi="Arial" w:eastAsia="Calibri" w:cs="Arial"/>
          <w:sz w:val="20"/>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el mes anterior, y en el período en consideración, y la cantidad y el valor acumulado hasta la fecha. Estos documentos se elaborarán según el modelo preparado por la fiscalización y serán requisito indispensable para tramitar la planilla correspondiente.</w:t>
      </w:r>
    </w:p>
    <w:p>
      <w:pPr>
        <w:suppressAutoHyphens/>
        <w:spacing w:after="0" w:line="240" w:lineRule="auto"/>
        <w:jc w:val="both"/>
        <w:rPr>
          <w:rFonts w:ascii="Arial" w:hAnsi="Arial" w:eastAsia="Times New Roman" w:cs="Arial"/>
          <w:sz w:val="20"/>
          <w:lang w:eastAsia="hi-IN" w:bidi="hi-IN"/>
        </w:rPr>
      </w:pPr>
    </w:p>
    <w:p>
      <w:pPr>
        <w:tabs>
          <w:tab w:val="left" w:pos="-540"/>
        </w:tabs>
        <w:suppressAutoHyphens/>
        <w:spacing w:after="0" w:line="240" w:lineRule="auto"/>
        <w:jc w:val="both"/>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5.2.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Obligaciones de la contratante:</w:t>
      </w:r>
    </w:p>
    <w:p>
      <w:pPr>
        <w:tabs>
          <w:tab w:val="left" w:pos="-540"/>
        </w:tabs>
        <w:suppressAutoHyphens/>
        <w:spacing w:after="0" w:line="240" w:lineRule="auto"/>
        <w:jc w:val="both"/>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Dar solución a las peticiones y problemas que se presentaren en la ejecución del contrato, en un plazo de 10 días contados a partir de la petición escrita formulada por el Contratista.</w:t>
      </w:r>
    </w:p>
    <w:p>
      <w:pPr>
        <w:tabs>
          <w:tab w:val="left" w:pos="0"/>
        </w:tabs>
        <w:suppressAutoHyphens/>
        <w:spacing w:after="0" w:line="240" w:lineRule="auto"/>
        <w:ind w:left="709" w:hanging="425"/>
        <w:jc w:val="both"/>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Proporcionar al contratista los documentos,  permisos y autorizaciones que se necesiten para la ejecución correcta y legal de la obra, y realizar las gestiones que le corresponda efectuar al contratante, ante los distintos organismos públicos, en un plazo 10 días contados a partir de la petición escrita formulada por el contratista.</w:t>
      </w:r>
    </w:p>
    <w:p>
      <w:pPr>
        <w:suppressAutoHyphens/>
        <w:spacing w:after="0" w:line="240" w:lineRule="auto"/>
        <w:ind w:left="709" w:hanging="425"/>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En caso de ser necesario y previo el trámite legal y administrativo respectivo, autorizar órdenes de cambio y órdenes de trabajo, a través de las modalidades de costo más porcentaje y aumento de cantidades de obra, respectivamente.</w:t>
      </w:r>
    </w:p>
    <w:p>
      <w:pPr>
        <w:suppressAutoHyphens/>
        <w:spacing w:after="0" w:line="240" w:lineRule="auto"/>
        <w:ind w:left="709" w:hanging="425"/>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En caso de ser necesario y previo el trámite legal y administrativo respectivo, celebrar los contratos complementarios.</w:t>
      </w:r>
    </w:p>
    <w:p>
      <w:pPr>
        <w:tabs>
          <w:tab w:val="left" w:pos="-540"/>
        </w:tabs>
        <w:suppressAutoHyphens/>
        <w:spacing w:after="0" w:line="240" w:lineRule="auto"/>
        <w:ind w:left="709" w:hanging="425"/>
        <w:jc w:val="both"/>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Entregar oportunamente y antes del inicio de las obras la vía a intervenir prevista en el contrato, en tales condiciones que el contratista pueda iniciar inmediatamente el desarrollo normal de sus trabajos, siendo de cuenta de la entidad los costos de expropiaciones, indemnizaciones, derechos de paso y otros conceptos similares.</w:t>
      </w:r>
    </w:p>
    <w:p>
      <w:pPr>
        <w:suppressAutoHyphens/>
        <w:spacing w:after="0" w:line="240" w:lineRule="auto"/>
        <w:ind w:left="709" w:hanging="425"/>
        <w:rPr>
          <w:rFonts w:ascii="Arial" w:hAnsi="Arial" w:eastAsia="Times New Roman" w:cs="Arial"/>
          <w:spacing w:val="-2"/>
          <w:sz w:val="20"/>
          <w:lang w:eastAsia="hi-IN" w:bidi="hi-IN"/>
        </w:rPr>
      </w:pPr>
    </w:p>
    <w:p>
      <w:pPr>
        <w:numPr>
          <w:ilvl w:val="0"/>
          <w:numId w:val="10"/>
        </w:numPr>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Suscribir las Actas de Entrega Recepción Parciales, Provisionales y Definitivas de las obras contratadas, siempre que se haya cumplido con lo previsto en la ley para la entrega recepción; y, en general, cumplir con las obligaciones derivadas del contrato.</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540"/>
        </w:tabs>
        <w:suppressAutoHyphens/>
        <w:spacing w:after="0" w:line="240" w:lineRule="auto"/>
        <w:jc w:val="both"/>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5.3.</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Ejecución del contrato:</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1584"/>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5.3.1. Inicio, planificación y control de obra:</w:t>
      </w:r>
      <w:r>
        <w:rPr>
          <w:rFonts w:ascii="Arial" w:hAnsi="Arial" w:eastAsia="Times New Roman" w:cs="Arial"/>
          <w:spacing w:val="-2"/>
          <w:sz w:val="20"/>
          <w:lang w:eastAsia="hi-IN" w:bidi="hi-IN"/>
        </w:rPr>
        <w:t xml:space="preserve"> 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 incluyendo el origen nacional.</w:t>
      </w:r>
    </w:p>
    <w:p>
      <w:pPr>
        <w:autoSpaceDE w:val="0"/>
        <w:autoSpaceDN w:val="0"/>
        <w:adjustRightInd w:val="0"/>
        <w:spacing w:after="0" w:line="240" w:lineRule="auto"/>
        <w:jc w:val="both"/>
        <w:rPr>
          <w:rFonts w:ascii="Arial" w:hAnsi="Arial" w:eastAsia="Calibri" w:cs="Arial"/>
          <w:sz w:val="20"/>
          <w:shd w:val="clear" w:color="auto" w:fill="FFFF00"/>
        </w:rPr>
      </w:pPr>
    </w:p>
    <w:p>
      <w:pPr>
        <w:autoSpaceDE w:val="0"/>
        <w:autoSpaceDN w:val="0"/>
        <w:adjustRightInd w:val="0"/>
        <w:spacing w:after="0" w:line="240" w:lineRule="auto"/>
        <w:jc w:val="both"/>
        <w:rPr>
          <w:rFonts w:ascii="Arial" w:hAnsi="Arial" w:eastAsia="Calibri" w:cs="Arial"/>
          <w:sz w:val="20"/>
          <w:shd w:val="clear" w:color="auto" w:fill="FFFF00"/>
        </w:rPr>
      </w:pPr>
      <w:r>
        <w:rPr>
          <w:rFonts w:ascii="Arial" w:hAnsi="Arial" w:eastAsia="Times New Roman" w:cs="Arial"/>
          <w:sz w:val="20"/>
        </w:rPr>
        <w:t>En las planillas de ejecución de trabajos o avance de obra, se incluirán los resultados de verificación de origen de los componentes y elementos (mano de obra, materiales, equipos y servicios) utilizados para la ejecución de los trabajos a ser planillados, declarado por la Fiscalización con base a la supervisión in situ de los trabajos, las facturas de provisión de materiales y servicios, y formularios de pago de aportes al IESS de la mano de obra.</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0"/>
        </w:tabs>
        <w:suppressAutoHyphens/>
        <w:spacing w:after="0" w:line="240" w:lineRule="auto"/>
        <w:jc w:val="both"/>
        <w:rPr>
          <w:rFonts w:ascii="Arial" w:hAnsi="Arial" w:eastAsia="Times New Roman" w:cs="Arial"/>
          <w:sz w:val="20"/>
          <w:lang w:eastAsia="hi-IN" w:bidi="hi-IN"/>
        </w:rPr>
      </w:pPr>
      <w:r>
        <w:rPr>
          <w:rFonts w:ascii="Arial" w:hAnsi="Arial" w:eastAsia="Times New Roman" w:cs="Arial"/>
          <w:b/>
          <w:spacing w:val="-2"/>
          <w:sz w:val="20"/>
          <w:lang w:eastAsia="hi-IN" w:bidi="hi-IN"/>
        </w:rPr>
        <w:t>5.3.2.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Facturación y reajuste:</w:t>
      </w:r>
      <w:r>
        <w:rPr>
          <w:rFonts w:ascii="Arial" w:hAnsi="Arial" w:eastAsia="Times New Roman" w:cs="Arial"/>
          <w:spacing w:val="-2"/>
          <w:sz w:val="20"/>
          <w:lang w:eastAsia="hi-IN" w:bidi="hi-IN"/>
        </w:rPr>
        <w:t xml:space="preserve"> El contratista preparará las planillas, las cuales se pondrán a consideración de la fiscalización el primer día laborable de cada mes, y serán aprobadas por ella en el término de 4 días, luego de lo cual, en forma inmediata, se continuará el trámite </w:t>
      </w:r>
      <w:r>
        <w:rPr>
          <w:rFonts w:ascii="Arial" w:hAnsi="Arial" w:eastAsia="Times New Roman" w:cs="Arial"/>
          <w:sz w:val="20"/>
          <w:lang w:eastAsia="hi-IN" w:bidi="hi-IN"/>
        </w:rPr>
        <w:t xml:space="preserve">de autorización del administrador del contrato y solo con dicha autorización </w:t>
      </w:r>
      <w:r>
        <w:rPr>
          <w:rFonts w:ascii="Arial" w:hAnsi="Arial" w:eastAsia="Times New Roman" w:cs="Arial"/>
          <w:spacing w:val="-2"/>
          <w:sz w:val="20"/>
          <w:lang w:eastAsia="hi-IN" w:bidi="hi-IN"/>
        </w:rPr>
        <w:t xml:space="preserve">se procederá al pago. </w:t>
      </w:r>
    </w:p>
    <w:p>
      <w:pPr>
        <w:tabs>
          <w:tab w:val="left" w:pos="1584"/>
        </w:tabs>
        <w:suppressAutoHyphens/>
        <w:spacing w:after="0" w:line="240" w:lineRule="auto"/>
        <w:jc w:val="both"/>
        <w:rPr>
          <w:rFonts w:ascii="Arial" w:hAnsi="Arial" w:eastAsia="Times New Roman" w:cs="Arial"/>
          <w:spacing w:val="-2"/>
          <w:sz w:val="20"/>
          <w:lang w:eastAsia="hi-IN" w:bidi="hi-IN"/>
        </w:rPr>
      </w:pPr>
    </w:p>
    <w:p>
      <w:pPr>
        <w:tabs>
          <w:tab w:val="left" w:pos="1584"/>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Estas planillas serán preparadas siguiendo el orden establecido en el Formulario de la Oferta y a cada planilla se adjuntarán los anexos de medidas, ensayos de suelos y materiales, aprobaciones y otros que correspondan.</w:t>
      </w:r>
    </w:p>
    <w:p>
      <w:pPr>
        <w:tabs>
          <w:tab w:val="left" w:pos="1584"/>
        </w:tabs>
        <w:suppressAutoHyphens/>
        <w:spacing w:after="0" w:line="240" w:lineRule="auto"/>
        <w:jc w:val="both"/>
        <w:rPr>
          <w:rFonts w:ascii="Arial" w:hAnsi="Arial" w:eastAsia="Times New Roman" w:cs="Arial"/>
          <w:spacing w:val="-2"/>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Además, el contratista presentará con las planillas el estado de avance del proyecto y un cuadro informativo resumen, que indicará, para cada concepto de trabajo, el rubro, la descripción, unidad, la cantidad total y el valor total contratado, las cantidades y el valor de los trabajos ejecutados hasta el </w:t>
      </w:r>
      <w:r>
        <w:rPr>
          <w:rFonts w:ascii="Arial" w:hAnsi="Arial" w:eastAsia="Times New Roman" w:cs="Arial"/>
          <w:i/>
          <w:iCs/>
          <w:sz w:val="20"/>
          <w:lang w:eastAsia="hi-IN" w:bidi="hi-IN"/>
        </w:rPr>
        <w:t>periodo</w:t>
      </w:r>
      <w:r>
        <w:rPr>
          <w:rFonts w:ascii="Arial" w:hAnsi="Arial" w:eastAsia="Times New Roman" w:cs="Arial"/>
          <w:sz w:val="20"/>
          <w:lang w:eastAsia="hi-IN" w:bidi="hi-IN"/>
        </w:rPr>
        <w:t xml:space="preserve"> anterior, y en el período en consideración, y la cantidad y el valor de los trabajos acumulado hasta la fecha, incluyendo el valor de los rubros subcontratados. Estos documentos se elaborarán según el modelo preparado por la Fiscalización y serán requisito indispensable para tramitar la planilla correspondiente.</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1584"/>
        </w:tabs>
        <w:suppressAutoHyphens/>
        <w:spacing w:after="0" w:line="240" w:lineRule="auto"/>
        <w:jc w:val="both"/>
        <w:rPr>
          <w:rFonts w:ascii="Arial" w:hAnsi="Arial" w:eastAsia="Times New Roman" w:cs="Arial"/>
          <w:bCs/>
          <w:spacing w:val="-2"/>
          <w:sz w:val="20"/>
          <w:lang w:eastAsia="hi-IN" w:bidi="hi-IN"/>
        </w:rPr>
      </w:pPr>
      <w:r>
        <w:rPr>
          <w:rFonts w:ascii="Arial" w:hAnsi="Arial" w:eastAsia="Times New Roman" w:cs="Arial"/>
          <w:spacing w:val="-2"/>
          <w:sz w:val="20"/>
          <w:lang w:eastAsia="hi-IN" w:bidi="hi-IN"/>
        </w:rPr>
        <w:t xml:space="preserve">En cada planilla de obra ejecutada, el fiscalizador o la unidad de control de cada obra, calculará el reajuste de precios provisional, aplicando las fórmulas de reajuste que se indican en el contrato. </w:t>
      </w:r>
      <w:r>
        <w:rPr>
          <w:rFonts w:ascii="Arial" w:hAnsi="Arial" w:eastAsia="Times New Roman" w:cs="Arial"/>
          <w:bCs/>
          <w:spacing w:val="-2"/>
          <w:sz w:val="20"/>
          <w:lang w:eastAsia="hi-IN" w:bidi="hi-IN"/>
        </w:rPr>
        <w:t>En el caso de aplicar el reajuste de precios, se establecerá como fecha de partida -sub cero-, la correspondiente a los treinta (30) días anteriores de la fecha límite de presentación de las ofertas.</w:t>
      </w:r>
    </w:p>
    <w:p>
      <w:pPr>
        <w:tabs>
          <w:tab w:val="left" w:pos="-540"/>
        </w:tabs>
        <w:suppressAutoHyphens/>
        <w:spacing w:after="0" w:line="240" w:lineRule="auto"/>
        <w:jc w:val="both"/>
        <w:rPr>
          <w:rFonts w:ascii="Arial" w:hAnsi="Arial" w:eastAsia="Times New Roman" w:cs="Arial"/>
          <w:sz w:val="20"/>
          <w:lang w:eastAsia="hi-IN" w:bidi="hi-IN"/>
        </w:rPr>
      </w:pPr>
    </w:p>
    <w:p>
      <w:pPr>
        <w:suppressAutoHyphens/>
        <w:spacing w:after="0" w:line="240" w:lineRule="auto"/>
        <w:ind w:right="45"/>
        <w:rPr>
          <w:rFonts w:ascii="Arial" w:hAnsi="Arial" w:eastAsia="Times New Roman" w:cs="Arial"/>
          <w:spacing w:val="-2"/>
          <w:sz w:val="20"/>
          <w:lang w:eastAsia="hi-IN" w:bidi="hi-IN"/>
        </w:rPr>
      </w:pPr>
      <w:r>
        <w:rPr>
          <w:rFonts w:ascii="Arial" w:hAnsi="Arial" w:eastAsia="Times New Roman" w:cs="Arial"/>
          <w:spacing w:val="-2"/>
          <w:sz w:val="20"/>
          <w:lang w:eastAsia="hi-IN" w:bidi="hi-IN"/>
        </w:rPr>
        <w:t>El fiscalizador realizará el reajuste definitivo tan pronto se publiquen los índices del INEC.</w:t>
      </w:r>
    </w:p>
    <w:p>
      <w:pPr>
        <w:rPr>
          <w:rFonts w:ascii="Arial" w:hAnsi="Arial" w:eastAsia="Times New Roman" w:cs="Arial"/>
          <w:spacing w:val="-2"/>
          <w:sz w:val="20"/>
          <w:lang w:eastAsia="hi-IN"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rPr>
          <w:rFonts w:ascii="Arial" w:hAnsi="Arial" w:eastAsia="Times New Roman" w:cs="Arial"/>
          <w:sz w:val="18"/>
          <w:lang w:bidi="hi-IN"/>
        </w:rPr>
      </w:pPr>
      <w:r>
        <w:rPr>
          <w:rFonts w:ascii="Arial" w:hAnsi="Arial" w:eastAsia="Times New Roman" w:cs="Arial"/>
          <w:sz w:val="18"/>
          <w:lang w:bidi="hi-IN"/>
        </w:rPr>
        <w:br w:type="page"/>
      </w:r>
    </w:p>
    <w:p>
      <w:pPr>
        <w:suppressAutoHyphens/>
        <w:spacing w:after="0" w:line="240" w:lineRule="auto"/>
        <w:rPr>
          <w:rFonts w:ascii="Times New Roman" w:hAnsi="Times New Roman" w:eastAsia="Times New Roman" w:cs="Times New Roman"/>
          <w:vanish/>
          <w:sz w:val="20"/>
          <w:szCs w:val="20"/>
          <w:lang w:eastAsia="hi-IN" w:bidi="hi-IN"/>
        </w:rPr>
      </w:pPr>
    </w:p>
    <w:p>
      <w:pPr>
        <w:suppressAutoHyphens/>
        <w:spacing w:after="0" w:line="240" w:lineRule="auto"/>
        <w:jc w:val="center"/>
        <w:rPr>
          <w:rFonts w:ascii="Arial" w:hAnsi="Arial" w:eastAsia="Times New Roman" w:cs="Arial"/>
          <w:szCs w:val="20"/>
          <w:lang w:eastAsia="hi-IN" w:bidi="hi-IN"/>
        </w:rPr>
      </w:pP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Cs w:val="20"/>
          <w:lang w:eastAsia="hi-IN" w:bidi="hi-IN"/>
        </w:rPr>
      </w:pP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PARTE II.  CONDICIONES GENERALES PARA LA CONTRATACIÓN DE OBRAS</w:t>
      </w: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 w:val="20"/>
          <w:szCs w:val="20"/>
          <w:lang w:val="es-ES" w:eastAsia="hi-IN" w:bidi="hi-IN"/>
        </w:rPr>
      </w:pPr>
      <w:r>
        <w:rPr>
          <w:rFonts w:ascii="Arial" w:hAnsi="Arial" w:eastAsia="Times New Roman" w:cs="Arial"/>
          <w:b/>
          <w:sz w:val="20"/>
          <w:szCs w:val="20"/>
          <w:lang w:val="es-ES" w:eastAsia="hi-IN" w:bidi="hi-IN"/>
        </w:rPr>
        <w:t>RANGO DE HASTA $ 2, 000,000</w:t>
      </w: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 w:val="20"/>
          <w:szCs w:val="20"/>
          <w:lang w:val="es-ES" w:eastAsia="hi-IN" w:bidi="hi-IN"/>
        </w:rPr>
      </w:pPr>
      <w:r>
        <w:rPr>
          <w:rFonts w:ascii="Arial" w:hAnsi="Arial" w:eastAsia="Times New Roman" w:cs="Arial"/>
          <w:b/>
          <w:sz w:val="20"/>
          <w:szCs w:val="20"/>
          <w:lang w:val="es-ES" w:eastAsia="hi-IN" w:bidi="hi-IN"/>
        </w:rPr>
        <w:t>ENMARCADAS BAJO FINANCIAMIENTO DE LA CAF</w:t>
      </w:r>
    </w:p>
    <w:p>
      <w:pPr>
        <w:widowControl w:val="0"/>
        <w:suppressAutoHyphens/>
        <w:overflowPunct w:val="0"/>
        <w:autoSpaceDE w:val="0"/>
        <w:spacing w:after="0" w:line="100" w:lineRule="atLeast"/>
        <w:jc w:val="center"/>
        <w:textAlignment w:val="baseline"/>
        <w:rPr>
          <w:rFonts w:ascii="Arial" w:hAnsi="Arial" w:eastAsia="Arial Unicode MS" w:cs="Arial"/>
          <w:b/>
          <w:bCs/>
          <w:sz w:val="20"/>
          <w:lang w:eastAsia="ar-SA"/>
        </w:rPr>
      </w:pP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ÍNDICE</w:t>
      </w:r>
    </w:p>
    <w:p>
      <w:pPr>
        <w:suppressAutoHyphens/>
        <w:spacing w:after="0" w:line="240" w:lineRule="auto"/>
        <w:jc w:val="both"/>
        <w:rPr>
          <w:rFonts w:ascii="Arial" w:hAnsi="Arial" w:eastAsia="Times New Roman" w:cs="Arial"/>
          <w:szCs w:val="20"/>
          <w:lang w:eastAsia="hi-IN" w:bidi="hi-IN"/>
        </w:rPr>
      </w:pPr>
    </w:p>
    <w:tbl>
      <w:tblPr>
        <w:tblStyle w:val="46"/>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shd w:val="clear" w:color="auto" w:fill="F2F2F2"/>
          </w:tcPr>
          <w:p>
            <w:pPr>
              <w:suppressAutoHyphens/>
              <w:spacing w:after="0" w:line="240" w:lineRule="auto"/>
              <w:rPr>
                <w:rFonts w:ascii="Arial" w:hAnsi="Arial" w:eastAsia="Times New Roman" w:cs="Arial"/>
                <w:b/>
                <w:sz w:val="20"/>
                <w:lang w:eastAsia="hi-IN" w:bidi="hi-IN"/>
              </w:rPr>
            </w:pPr>
          </w:p>
          <w:p>
            <w:pPr>
              <w:suppressAutoHyphens/>
              <w:spacing w:after="0" w:line="240" w:lineRule="auto"/>
              <w:jc w:val="center"/>
              <w:rPr>
                <w:rFonts w:ascii="Arial" w:hAnsi="Arial" w:eastAsia="Times New Roman" w:cs="Arial"/>
                <w:b/>
                <w:bCs/>
                <w:sz w:val="20"/>
                <w:lang w:eastAsia="hi-IN" w:bidi="hi-IN"/>
              </w:rPr>
            </w:pPr>
            <w:r>
              <w:rPr>
                <w:rFonts w:ascii="Arial" w:hAnsi="Arial" w:eastAsia="Times New Roman" w:cs="Arial"/>
                <w:b/>
                <w:sz w:val="20"/>
                <w:lang w:eastAsia="hi-IN" w:bidi="hi-IN"/>
              </w:rPr>
              <w:t>SECCIÓN I</w:t>
            </w:r>
          </w:p>
          <w:p>
            <w:pPr>
              <w:suppressAutoHyphens/>
              <w:spacing w:after="0" w:line="240" w:lineRule="auto"/>
              <w:rPr>
                <w:rFonts w:ascii="Arial" w:hAnsi="Arial" w:eastAsia="Times New Roman" w:cs="Arial"/>
                <w:sz w:val="20"/>
                <w:lang w:eastAsia="hi-IN" w:bidi="hi-IN"/>
              </w:rPr>
            </w:pPr>
          </w:p>
        </w:tc>
        <w:tc>
          <w:tcPr>
            <w:tcW w:w="6835" w:type="dxa"/>
            <w:shd w:val="clear" w:color="auto" w:fill="auto"/>
          </w:tcPr>
          <w:p>
            <w:pPr>
              <w:suppressAutoHyphens/>
              <w:spacing w:after="0" w:line="240" w:lineRule="auto"/>
              <w:rPr>
                <w:rFonts w:ascii="Arial" w:hAnsi="Arial" w:eastAsia="Times New Roman" w:cs="Arial"/>
                <w:b/>
                <w:bCs/>
                <w:sz w:val="20"/>
                <w:lang w:eastAsia="hi-IN" w:bidi="hi-IN"/>
              </w:rPr>
            </w:pPr>
          </w:p>
          <w:p>
            <w:pPr>
              <w:suppressAutoHyphens/>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DEL PROCEDIMIENTO DE CONTRATACIÓN</w:t>
            </w:r>
          </w:p>
          <w:p>
            <w:pPr>
              <w:suppressAutoHyphens/>
              <w:spacing w:after="0" w:line="240" w:lineRule="auto"/>
              <w:rPr>
                <w:rFonts w:ascii="Arial" w:hAnsi="Arial" w:eastAsia="Times New Roman" w:cs="Arial"/>
                <w:sz w:val="20"/>
                <w:u w:val="single"/>
                <w:lang w:eastAsia="hi-IN" w:bidi="hi-IN"/>
              </w:rPr>
            </w:pP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eastAsia="hi-IN" w:bidi="hi-IN"/>
              </w:rPr>
              <w:t>1.1</w:t>
            </w:r>
            <w:r>
              <w:rPr>
                <w:rFonts w:ascii="Arial" w:hAnsi="Arial" w:eastAsia="Times New Roman" w:cs="Arial"/>
                <w:spacing w:val="-2"/>
                <w:sz w:val="20"/>
                <w:lang w:eastAsia="hi-IN" w:bidi="hi-IN"/>
              </w:rPr>
              <w:tab/>
            </w:r>
            <w:r>
              <w:rPr>
                <w:rFonts w:ascii="Arial" w:hAnsi="Arial" w:eastAsia="Times New Roman" w:cs="Arial"/>
                <w:bCs/>
                <w:sz w:val="20"/>
                <w:lang w:eastAsia="hi-IN" w:bidi="hi-IN"/>
              </w:rPr>
              <w:t>Comisión Técnica</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z w:val="20"/>
                <w:lang w:eastAsia="hi-IN" w:bidi="hi-IN"/>
              </w:rPr>
              <w:t>1.2</w:t>
            </w:r>
            <w:r>
              <w:rPr>
                <w:rFonts w:ascii="Arial" w:hAnsi="Arial" w:eastAsia="Times New Roman" w:cs="Arial"/>
                <w:sz w:val="20"/>
                <w:lang w:eastAsia="hi-IN" w:bidi="hi-IN"/>
              </w:rPr>
              <w:tab/>
            </w:r>
            <w:r>
              <w:rPr>
                <w:rFonts w:ascii="Arial" w:hAnsi="Arial" w:eastAsia="Times New Roman" w:cs="Arial"/>
                <w:bCs/>
                <w:spacing w:val="-2"/>
                <w:sz w:val="20"/>
                <w:lang w:eastAsia="hi-IN" w:bidi="hi-IN"/>
              </w:rPr>
              <w:t>Participantes</w:t>
            </w:r>
          </w:p>
          <w:p>
            <w:pPr>
              <w:suppressAutoHyphens/>
              <w:spacing w:after="0" w:line="240" w:lineRule="auto"/>
              <w:ind w:left="175"/>
              <w:rPr>
                <w:rFonts w:ascii="Arial" w:hAnsi="Arial" w:eastAsia="Times New Roman" w:cs="Arial"/>
                <w:bCs/>
                <w:sz w:val="20"/>
                <w:lang w:eastAsia="hi-IN" w:bidi="hi-IN"/>
              </w:rPr>
            </w:pPr>
            <w:r>
              <w:rPr>
                <w:rFonts w:ascii="Arial" w:hAnsi="Arial" w:eastAsia="Times New Roman" w:cs="Arial"/>
                <w:bCs/>
                <w:sz w:val="20"/>
                <w:lang w:eastAsia="hi-IN" w:bidi="hi-IN"/>
              </w:rPr>
              <w:t>1.3</w:t>
            </w:r>
            <w:r>
              <w:rPr>
                <w:rFonts w:ascii="Arial" w:hAnsi="Arial" w:eastAsia="Times New Roman" w:cs="Arial"/>
                <w:bCs/>
                <w:sz w:val="20"/>
                <w:lang w:eastAsia="hi-IN" w:bidi="hi-IN"/>
              </w:rPr>
              <w:tab/>
            </w:r>
            <w:r>
              <w:rPr>
                <w:rFonts w:ascii="Arial" w:hAnsi="Arial" w:eastAsia="Times New Roman" w:cs="Arial"/>
                <w:bCs/>
                <w:sz w:val="20"/>
                <w:lang w:eastAsia="hi-IN" w:bidi="hi-IN"/>
              </w:rPr>
              <w:t xml:space="preserve">Presentación y apertura de ofertas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3"/>
                <w:sz w:val="20"/>
                <w:lang w:eastAsia="hi-IN" w:bidi="hi-IN"/>
              </w:rPr>
              <w:t>1.4</w:t>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 xml:space="preserve">Inhabilidades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bCs/>
                <w:spacing w:val="-2"/>
                <w:sz w:val="20"/>
                <w:lang w:eastAsia="hi-IN" w:bidi="hi-IN"/>
              </w:rPr>
              <w:t>1.5</w:t>
            </w:r>
            <w:r>
              <w:rPr>
                <w:rFonts w:ascii="Arial" w:hAnsi="Arial" w:eastAsia="Times New Roman" w:cs="Arial"/>
                <w:bCs/>
                <w:spacing w:val="-2"/>
                <w:sz w:val="20"/>
                <w:lang w:eastAsia="hi-IN" w:bidi="hi-IN"/>
              </w:rPr>
              <w:tab/>
            </w:r>
            <w:r>
              <w:rPr>
                <w:rFonts w:ascii="Arial" w:hAnsi="Arial" w:eastAsia="Times New Roman" w:cs="Arial"/>
                <w:bCs/>
                <w:spacing w:val="-2"/>
                <w:sz w:val="20"/>
                <w:lang w:eastAsia="hi-IN" w:bidi="hi-IN"/>
              </w:rPr>
              <w:t>Obligaciones de los oferentes</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eastAsia="hi-IN" w:bidi="hi-IN"/>
              </w:rPr>
              <w:t>1.6</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 xml:space="preserve">Preguntas, respuestas y aclaraciones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bCs/>
                <w:spacing w:val="-2"/>
                <w:sz w:val="20"/>
                <w:lang w:eastAsia="hi-IN" w:bidi="hi-IN"/>
              </w:rPr>
              <w:t>1.7</w:t>
            </w:r>
            <w:r>
              <w:rPr>
                <w:rFonts w:ascii="Arial" w:hAnsi="Arial" w:eastAsia="Times New Roman" w:cs="Arial"/>
                <w:bCs/>
                <w:spacing w:val="-2"/>
                <w:sz w:val="20"/>
                <w:lang w:eastAsia="hi-IN" w:bidi="hi-IN"/>
              </w:rPr>
              <w:tab/>
            </w:r>
            <w:r>
              <w:rPr>
                <w:rFonts w:ascii="Arial" w:hAnsi="Arial" w:eastAsia="Times New Roman" w:cs="Arial"/>
                <w:bCs/>
                <w:spacing w:val="-2"/>
                <w:sz w:val="20"/>
                <w:lang w:eastAsia="hi-IN" w:bidi="hi-IN"/>
              </w:rPr>
              <w:t>Modificación del pliego</w:t>
            </w:r>
          </w:p>
          <w:p>
            <w:pPr>
              <w:suppressAutoHyphens/>
              <w:spacing w:after="0" w:line="240" w:lineRule="auto"/>
              <w:ind w:left="175"/>
              <w:rPr>
                <w:rFonts w:ascii="Arial" w:hAnsi="Arial" w:eastAsia="Times New Roman" w:cs="Arial"/>
                <w:spacing w:val="-2"/>
                <w:sz w:val="20"/>
                <w:lang w:val="es-ES" w:eastAsia="hi-IN" w:bidi="hi-IN"/>
              </w:rPr>
            </w:pPr>
            <w:r>
              <w:rPr>
                <w:rFonts w:ascii="Arial" w:hAnsi="Arial" w:eastAsia="Times New Roman" w:cs="Arial"/>
                <w:spacing w:val="-2"/>
                <w:sz w:val="20"/>
                <w:lang w:eastAsia="hi-IN" w:bidi="hi-IN"/>
              </w:rPr>
              <w:t>1.8</w:t>
            </w:r>
            <w:r>
              <w:rPr>
                <w:rFonts w:ascii="Arial" w:hAnsi="Arial" w:eastAsia="Times New Roman" w:cs="Arial"/>
                <w:spacing w:val="-2"/>
                <w:sz w:val="20"/>
                <w:lang w:eastAsia="hi-IN" w:bidi="hi-IN"/>
              </w:rPr>
              <w:tab/>
            </w:r>
            <w:r>
              <w:rPr>
                <w:rFonts w:ascii="Arial" w:hAnsi="Arial" w:eastAsia="Times New Roman" w:cs="Arial"/>
                <w:spacing w:val="-2"/>
                <w:sz w:val="20"/>
                <w:lang w:val="es-ES" w:eastAsia="hi-IN" w:bidi="hi-IN"/>
              </w:rPr>
              <w:t>Convalidación de errores de forma</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val="es-ES" w:eastAsia="hi-IN" w:bidi="hi-IN"/>
              </w:rPr>
              <w:t>1.9</w:t>
            </w:r>
            <w:r>
              <w:rPr>
                <w:rFonts w:ascii="Arial" w:hAnsi="Arial" w:eastAsia="Times New Roman" w:cs="Arial"/>
                <w:spacing w:val="-2"/>
                <w:sz w:val="20"/>
                <w:lang w:val="es-ES" w:eastAsia="hi-IN" w:bidi="hi-IN"/>
              </w:rPr>
              <w:tab/>
            </w:r>
            <w:r>
              <w:rPr>
                <w:rFonts w:ascii="Arial" w:hAnsi="Arial" w:eastAsia="Times New Roman" w:cs="Arial"/>
                <w:spacing w:val="-3"/>
                <w:sz w:val="20"/>
                <w:lang w:eastAsia="hi-IN" w:bidi="hi-IN"/>
              </w:rPr>
              <w:t xml:space="preserve">Causas de rechazo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val="es-ES" w:eastAsia="hi-IN" w:bidi="hi-IN"/>
              </w:rPr>
              <w:t>1.10</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 xml:space="preserve">Adjudicación y notificación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3"/>
                <w:sz w:val="20"/>
                <w:lang w:val="es-ES" w:eastAsia="hi-IN" w:bidi="hi-IN"/>
              </w:rPr>
              <w:t>1.11</w:t>
            </w:r>
            <w:r>
              <w:rPr>
                <w:rFonts w:ascii="Arial" w:hAnsi="Arial" w:eastAsia="Times New Roman" w:cs="Arial"/>
                <w:spacing w:val="-3"/>
                <w:sz w:val="20"/>
                <w:lang w:val="es-ES" w:eastAsia="hi-IN" w:bidi="hi-IN"/>
              </w:rPr>
              <w:tab/>
            </w:r>
            <w:r>
              <w:rPr>
                <w:rFonts w:ascii="Arial" w:hAnsi="Arial" w:eastAsia="Times New Roman" w:cs="Arial"/>
                <w:spacing w:val="-3"/>
                <w:sz w:val="20"/>
                <w:lang w:val="es-ES" w:eastAsia="hi-IN" w:bidi="hi-IN"/>
              </w:rPr>
              <w:t xml:space="preserve">Garantías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bCs/>
                <w:spacing w:val="-3"/>
                <w:sz w:val="20"/>
                <w:lang w:eastAsia="hi-IN" w:bidi="hi-IN"/>
              </w:rPr>
              <w:t>1.12</w:t>
            </w:r>
            <w:r>
              <w:rPr>
                <w:rFonts w:ascii="Arial" w:hAnsi="Arial" w:eastAsia="Times New Roman" w:cs="Arial"/>
                <w:bCs/>
                <w:spacing w:val="-3"/>
                <w:sz w:val="20"/>
                <w:lang w:eastAsia="hi-IN" w:bidi="hi-IN"/>
              </w:rPr>
              <w:tab/>
            </w:r>
            <w:r>
              <w:rPr>
                <w:rFonts w:ascii="Arial" w:hAnsi="Arial" w:eastAsia="Times New Roman" w:cs="Arial"/>
                <w:bCs/>
                <w:spacing w:val="-3"/>
                <w:sz w:val="20"/>
                <w:lang w:eastAsia="hi-IN" w:bidi="hi-IN"/>
              </w:rPr>
              <w:t>Cancelación del procedimiento</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val="es-ES" w:eastAsia="hi-IN" w:bidi="hi-IN"/>
              </w:rPr>
              <w:t>1.13</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Suscripción del contrato</w:t>
            </w:r>
          </w:p>
          <w:p>
            <w:pPr>
              <w:suppressAutoHyphens/>
              <w:spacing w:after="0" w:line="240" w:lineRule="auto"/>
              <w:ind w:left="175"/>
              <w:rPr>
                <w:rFonts w:ascii="Arial" w:hAnsi="Arial" w:eastAsia="Times New Roman" w:cs="Arial"/>
                <w:bCs/>
                <w:spacing w:val="-2"/>
                <w:sz w:val="20"/>
                <w:lang w:eastAsia="hi-IN" w:bidi="hi-IN"/>
              </w:rPr>
            </w:pPr>
            <w:r>
              <w:rPr>
                <w:rFonts w:ascii="Arial" w:hAnsi="Arial" w:eastAsia="Times New Roman" w:cs="Arial"/>
                <w:bCs/>
                <w:spacing w:val="-2"/>
                <w:sz w:val="20"/>
                <w:lang w:eastAsia="hi-IN" w:bidi="hi-IN"/>
              </w:rPr>
              <w:t>1.14   Precios unitarios y reajuste</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z w:val="20"/>
                <w:lang w:eastAsia="hi-IN" w:bidi="hi-IN"/>
              </w:rPr>
              <w:t>1.15</w:t>
            </w:r>
            <w:r>
              <w:rPr>
                <w:rFonts w:ascii="Arial" w:hAnsi="Arial" w:eastAsia="Times New Roman" w:cs="Arial"/>
                <w:sz w:val="20"/>
                <w:lang w:eastAsia="hi-IN" w:bidi="hi-IN"/>
              </w:rPr>
              <w:tab/>
            </w:r>
            <w:r>
              <w:rPr>
                <w:rFonts w:ascii="Arial" w:hAnsi="Arial" w:eastAsia="Times New Roman" w:cs="Arial"/>
                <w:bCs/>
                <w:spacing w:val="-2"/>
                <w:sz w:val="20"/>
                <w:lang w:eastAsia="hi-IN" w:bidi="hi-IN"/>
              </w:rPr>
              <w:t>Moneda de cotización y pago</w:t>
            </w:r>
          </w:p>
          <w:p>
            <w:pPr>
              <w:suppressAutoHyphens/>
              <w:spacing w:after="0" w:line="240" w:lineRule="auto"/>
              <w:ind w:left="175"/>
              <w:rPr>
                <w:rFonts w:ascii="Arial" w:hAnsi="Arial" w:eastAsia="Times New Roman" w:cs="Arial"/>
                <w:bCs/>
                <w:sz w:val="20"/>
                <w:lang w:eastAsia="hi-IN" w:bidi="hi-IN"/>
              </w:rPr>
            </w:pPr>
            <w:r>
              <w:rPr>
                <w:rFonts w:ascii="Arial" w:hAnsi="Arial" w:eastAsia="Times New Roman" w:cs="Arial"/>
                <w:bCs/>
                <w:sz w:val="20"/>
                <w:lang w:eastAsia="hi-IN" w:bidi="hi-IN"/>
              </w:rPr>
              <w:t>1.16   Administración del contrato</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z w:val="20"/>
                <w:lang w:eastAsia="hi-IN" w:bidi="hi-IN"/>
              </w:rPr>
              <w:t>1.17   Fiscalización</w:t>
            </w:r>
          </w:p>
          <w:p>
            <w:pPr>
              <w:suppressAutoHyphens/>
              <w:spacing w:after="0" w:line="240" w:lineRule="auto"/>
              <w:ind w:left="175"/>
              <w:rPr>
                <w:rFonts w:ascii="Arial" w:hAnsi="Arial" w:eastAsia="Times New Roman" w:cs="Arial"/>
                <w:spacing w:val="-2"/>
                <w:sz w:val="20"/>
                <w:lang w:eastAsia="hi-IN" w:bidi="hi-IN"/>
              </w:rPr>
            </w:pPr>
            <w:r>
              <w:rPr>
                <w:rFonts w:ascii="Arial" w:hAnsi="Arial" w:eastAsia="Times New Roman" w:cs="Arial"/>
                <w:spacing w:val="-2"/>
                <w:sz w:val="20"/>
                <w:lang w:eastAsia="hi-IN" w:bidi="hi-IN"/>
              </w:rPr>
              <w:t>1.18</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Control ambiental</w:t>
            </w:r>
          </w:p>
          <w:p>
            <w:pPr>
              <w:suppressAutoHyphens/>
              <w:spacing w:after="0" w:line="240" w:lineRule="auto"/>
              <w:ind w:left="175"/>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1.19   Subcontratación</w:t>
            </w:r>
          </w:p>
          <w:p>
            <w:pPr>
              <w:suppressAutoHyphens/>
              <w:spacing w:after="0" w:line="240" w:lineRule="auto"/>
              <w:ind w:left="175"/>
              <w:rPr>
                <w:rFonts w:ascii="Arial" w:hAnsi="Arial" w:eastAsia="Times New Roman" w:cs="Arial"/>
                <w:bCs/>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shd w:val="clear" w:color="auto" w:fill="F2F2F2"/>
          </w:tcPr>
          <w:p>
            <w:pPr>
              <w:suppressAutoHyphens/>
              <w:spacing w:after="0" w:line="240" w:lineRule="auto"/>
              <w:jc w:val="center"/>
              <w:rPr>
                <w:rFonts w:ascii="Arial" w:hAnsi="Arial" w:eastAsia="Times New Roman" w:cs="Arial"/>
                <w:b/>
                <w:bCs/>
                <w:sz w:val="20"/>
                <w:lang w:eastAsia="hi-IN" w:bidi="hi-IN"/>
              </w:rPr>
            </w:pPr>
          </w:p>
          <w:p>
            <w:pPr>
              <w:suppressAutoHyphens/>
              <w:spacing w:after="0" w:line="240" w:lineRule="auto"/>
              <w:jc w:val="center"/>
              <w:rPr>
                <w:rFonts w:ascii="Arial" w:hAnsi="Arial" w:eastAsia="Times New Roman" w:cs="Arial"/>
                <w:b/>
                <w:bCs/>
                <w:sz w:val="20"/>
                <w:lang w:eastAsia="hi-IN" w:bidi="hi-IN"/>
              </w:rPr>
            </w:pPr>
            <w:r>
              <w:rPr>
                <w:rFonts w:ascii="Arial" w:hAnsi="Arial" w:eastAsia="Times New Roman" w:cs="Arial"/>
                <w:b/>
                <w:bCs/>
                <w:sz w:val="20"/>
                <w:lang w:eastAsia="hi-IN" w:bidi="hi-IN"/>
              </w:rPr>
              <w:t>SECCIÓN II</w:t>
            </w:r>
          </w:p>
          <w:p>
            <w:pPr>
              <w:suppressAutoHyphens/>
              <w:spacing w:after="0" w:line="240" w:lineRule="auto"/>
              <w:rPr>
                <w:rFonts w:ascii="Arial" w:hAnsi="Arial" w:eastAsia="Times New Roman" w:cs="Arial"/>
                <w:sz w:val="20"/>
                <w:lang w:eastAsia="hi-IN" w:bidi="hi-IN"/>
              </w:rPr>
            </w:pPr>
          </w:p>
        </w:tc>
        <w:tc>
          <w:tcPr>
            <w:tcW w:w="6835" w:type="dxa"/>
            <w:shd w:val="clear" w:color="auto" w:fill="auto"/>
          </w:tcPr>
          <w:p>
            <w:pPr>
              <w:suppressAutoHyphens/>
              <w:spacing w:after="0" w:line="240" w:lineRule="auto"/>
              <w:rPr>
                <w:rFonts w:ascii="Arial" w:hAnsi="Arial" w:eastAsia="Times New Roman" w:cs="Arial"/>
                <w:b/>
                <w:bCs/>
                <w:sz w:val="20"/>
                <w:u w:val="single"/>
                <w:lang w:eastAsia="hi-IN" w:bidi="hi-IN"/>
              </w:rPr>
            </w:pPr>
          </w:p>
          <w:p>
            <w:pPr>
              <w:suppressAutoHyphens/>
              <w:spacing w:after="0" w:line="240" w:lineRule="auto"/>
              <w:rPr>
                <w:rFonts w:ascii="Arial" w:hAnsi="Arial" w:eastAsia="Times New Roman" w:cs="Arial"/>
                <w:b/>
                <w:sz w:val="20"/>
                <w:lang w:eastAsia="hi-IN" w:bidi="hi-IN"/>
              </w:rPr>
            </w:pPr>
            <w:r>
              <w:rPr>
                <w:rFonts w:ascii="Arial" w:hAnsi="Arial" w:eastAsia="Times New Roman" w:cs="Arial"/>
                <w:b/>
                <w:bCs/>
                <w:sz w:val="20"/>
                <w:lang w:eastAsia="hi-IN" w:bidi="hi-IN"/>
              </w:rPr>
              <w:t>METODOLOGÍA DE EVALUACIÓN DE LAS OFERTAS</w:t>
            </w:r>
          </w:p>
          <w:p>
            <w:pPr>
              <w:suppressAutoHyphens/>
              <w:spacing w:after="0" w:line="240" w:lineRule="auto"/>
              <w:rPr>
                <w:rFonts w:ascii="Arial" w:hAnsi="Arial" w:eastAsia="Times New Roman" w:cs="Arial"/>
                <w:b/>
                <w:bCs/>
                <w:spacing w:val="-3"/>
                <w:sz w:val="20"/>
                <w:lang w:eastAsia="hi-IN" w:bidi="hi-IN"/>
              </w:rPr>
            </w:pPr>
          </w:p>
          <w:p>
            <w:pPr>
              <w:suppressAutoHyphens/>
              <w:spacing w:after="0" w:line="240" w:lineRule="auto"/>
              <w:ind w:left="176"/>
              <w:rPr>
                <w:rFonts w:ascii="Arial" w:hAnsi="Arial" w:eastAsia="Times New Roman" w:cs="Arial"/>
                <w:sz w:val="20"/>
                <w:lang w:eastAsia="hi-IN" w:bidi="hi-IN"/>
              </w:rPr>
            </w:pPr>
            <w:r>
              <w:rPr>
                <w:rFonts w:ascii="Arial" w:hAnsi="Arial" w:eastAsia="Times New Roman" w:cs="Arial"/>
                <w:bCs/>
                <w:sz w:val="20"/>
                <w:lang w:eastAsia="hi-IN" w:bidi="hi-IN"/>
              </w:rPr>
              <w:t>2.1.</w:t>
            </w:r>
            <w:r>
              <w:rPr>
                <w:rFonts w:ascii="Arial" w:hAnsi="Arial" w:eastAsia="Times New Roman" w:cs="Arial"/>
                <w:bCs/>
                <w:sz w:val="20"/>
                <w:lang w:eastAsia="hi-IN" w:bidi="hi-IN"/>
              </w:rPr>
              <w:tab/>
            </w:r>
            <w:r>
              <w:rPr>
                <w:rFonts w:ascii="Arial" w:hAnsi="Arial" w:eastAsia="Times New Roman" w:cs="Arial"/>
                <w:bCs/>
                <w:sz w:val="20"/>
                <w:lang w:eastAsia="hi-IN" w:bidi="hi-IN"/>
              </w:rPr>
              <w:t>Metodología de evaluación de las ofertas</w:t>
            </w:r>
          </w:p>
          <w:p>
            <w:pPr>
              <w:suppressAutoHyphens/>
              <w:spacing w:after="0" w:line="240" w:lineRule="auto"/>
              <w:ind w:left="176" w:right="45"/>
              <w:jc w:val="both"/>
              <w:rPr>
                <w:rFonts w:ascii="Arial" w:hAnsi="Arial" w:eastAsia="Times New Roman" w:cs="Arial"/>
                <w:bCs/>
                <w:sz w:val="20"/>
                <w:lang w:bidi="hi-IN"/>
              </w:rPr>
            </w:pPr>
            <w:r>
              <w:rPr>
                <w:rFonts w:ascii="Arial" w:hAnsi="Arial" w:eastAsia="Times New Roman" w:cs="Arial"/>
                <w:bCs/>
                <w:sz w:val="20"/>
                <w:lang w:bidi="hi-IN"/>
              </w:rPr>
              <w:t xml:space="preserve">2.2. </w:t>
            </w:r>
            <w:r>
              <w:rPr>
                <w:rFonts w:ascii="Arial" w:hAnsi="Arial" w:eastAsia="Times New Roman" w:cs="Arial"/>
                <w:bCs/>
                <w:sz w:val="20"/>
                <w:lang w:bidi="hi-IN"/>
              </w:rPr>
              <w:tab/>
            </w:r>
            <w:r>
              <w:rPr>
                <w:rFonts w:ascii="Arial" w:hAnsi="Arial" w:eastAsia="Times New Roman" w:cs="Arial"/>
                <w:bCs/>
                <w:sz w:val="20"/>
                <w:lang w:bidi="hi-IN"/>
              </w:rPr>
              <w:t>Parámetros de evaluación</w:t>
            </w:r>
          </w:p>
          <w:p>
            <w:pPr>
              <w:suppressAutoHyphens/>
              <w:spacing w:after="0" w:line="240" w:lineRule="auto"/>
              <w:ind w:left="176" w:right="45"/>
              <w:jc w:val="both"/>
              <w:rPr>
                <w:rFonts w:ascii="Arial" w:hAnsi="Arial" w:eastAsia="Times New Roman" w:cs="Arial"/>
                <w:bCs/>
                <w:sz w:val="20"/>
                <w:lang w:bidi="hi-IN"/>
              </w:rPr>
            </w:pPr>
            <w:r>
              <w:rPr>
                <w:rFonts w:ascii="Arial" w:hAnsi="Arial" w:eastAsia="Times New Roman" w:cs="Arial"/>
                <w:bCs/>
                <w:sz w:val="20"/>
                <w:lang w:bidi="hi-IN"/>
              </w:rPr>
              <w:t>2.3</w:t>
            </w:r>
            <w:r>
              <w:rPr>
                <w:rFonts w:ascii="Arial" w:hAnsi="Arial" w:eastAsia="Times New Roman" w:cs="Arial"/>
                <w:bCs/>
                <w:sz w:val="20"/>
                <w:lang w:bidi="hi-IN"/>
              </w:rPr>
              <w:tab/>
            </w:r>
            <w:r>
              <w:rPr>
                <w:rFonts w:ascii="Arial" w:hAnsi="Arial" w:eastAsia="Times New Roman" w:cs="Arial"/>
                <w:bCs/>
                <w:sz w:val="20"/>
                <w:lang w:bidi="hi-IN"/>
              </w:rPr>
              <w:t>De la evaluación</w:t>
            </w:r>
          </w:p>
          <w:p>
            <w:pPr>
              <w:suppressAutoHyphens/>
              <w:spacing w:after="0" w:line="240" w:lineRule="auto"/>
              <w:ind w:left="176" w:right="45"/>
              <w:jc w:val="both"/>
              <w:rPr>
                <w:rFonts w:ascii="Arial" w:hAnsi="Arial" w:eastAsia="Times New Roman" w:cs="Arial"/>
                <w:bCs/>
                <w:sz w:val="20"/>
                <w:lang w:bidi="hi-IN"/>
              </w:rPr>
            </w:pPr>
            <w:r>
              <w:rPr>
                <w:rFonts w:ascii="Arial" w:hAnsi="Arial" w:eastAsia="Times New Roman" w:cs="Arial"/>
                <w:bCs/>
                <w:sz w:val="20"/>
                <w:lang w:bidi="hi-IN"/>
              </w:rPr>
              <w:t>2.4</w:t>
            </w:r>
            <w:r>
              <w:rPr>
                <w:rFonts w:ascii="Arial" w:hAnsi="Arial" w:eastAsia="Times New Roman" w:cs="Arial"/>
                <w:bCs/>
                <w:sz w:val="20"/>
                <w:lang w:bidi="hi-IN"/>
              </w:rPr>
              <w:tab/>
            </w:r>
            <w:r>
              <w:rPr>
                <w:rFonts w:ascii="Arial" w:hAnsi="Arial" w:eastAsia="Times New Roman" w:cs="Arial"/>
                <w:bCs/>
                <w:sz w:val="20"/>
                <w:lang w:bidi="hi-IN"/>
              </w:rPr>
              <w:t>Índices financieros</w:t>
            </w:r>
          </w:p>
          <w:p>
            <w:pPr>
              <w:suppressAutoHyphens/>
              <w:spacing w:after="0" w:line="240" w:lineRule="auto"/>
              <w:ind w:left="176"/>
              <w:rPr>
                <w:rFonts w:ascii="Arial" w:hAnsi="Arial" w:eastAsia="Times New Roman" w:cs="Arial"/>
                <w:sz w:val="20"/>
                <w:lang w:eastAsia="hi-IN" w:bidi="hi-IN"/>
              </w:rPr>
            </w:pPr>
            <w:r>
              <w:rPr>
                <w:rFonts w:ascii="Arial" w:hAnsi="Arial" w:eastAsia="Times New Roman" w:cs="Arial"/>
                <w:bCs/>
                <w:sz w:val="20"/>
                <w:lang w:bidi="hi-IN"/>
              </w:rPr>
              <w:t>2.5</w:t>
            </w:r>
            <w:r>
              <w:rPr>
                <w:rFonts w:ascii="Arial" w:hAnsi="Arial" w:eastAsia="Times New Roman" w:cs="Arial"/>
                <w:bCs/>
                <w:sz w:val="20"/>
                <w:lang w:bidi="hi-IN"/>
              </w:rPr>
              <w:tab/>
            </w:r>
            <w:r>
              <w:rPr>
                <w:rFonts w:ascii="Arial" w:hAnsi="Arial" w:eastAsia="Times New Roman" w:cs="Arial"/>
                <w:bCs/>
                <w:sz w:val="20"/>
                <w:lang w:bidi="hi-IN"/>
              </w:rPr>
              <w:t>Formulario para la elaboración de las ofertas</w:t>
            </w:r>
          </w:p>
          <w:p>
            <w:pPr>
              <w:suppressAutoHyphens/>
              <w:spacing w:after="0" w:line="240" w:lineRule="auto"/>
              <w:ind w:left="176"/>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shd w:val="clear" w:color="auto" w:fill="F2F2F2"/>
          </w:tcPr>
          <w:p>
            <w:pPr>
              <w:suppressAutoHyphens/>
              <w:spacing w:after="0" w:line="240" w:lineRule="auto"/>
              <w:jc w:val="center"/>
              <w:rPr>
                <w:rFonts w:ascii="Arial" w:hAnsi="Arial" w:eastAsia="Times New Roman" w:cs="Arial"/>
                <w:b/>
                <w:bCs/>
                <w:sz w:val="20"/>
                <w:lang w:eastAsia="hi-IN" w:bidi="hi-IN"/>
              </w:rPr>
            </w:pPr>
          </w:p>
          <w:p>
            <w:pPr>
              <w:suppressAutoHyphens/>
              <w:spacing w:after="0" w:line="240" w:lineRule="auto"/>
              <w:jc w:val="center"/>
              <w:rPr>
                <w:rFonts w:ascii="Arial" w:hAnsi="Arial" w:eastAsia="Times New Roman" w:cs="Arial"/>
                <w:b/>
                <w:bCs/>
                <w:sz w:val="20"/>
                <w:lang w:eastAsia="hi-IN" w:bidi="hi-IN"/>
              </w:rPr>
            </w:pPr>
            <w:r>
              <w:rPr>
                <w:rFonts w:ascii="Arial" w:hAnsi="Arial" w:eastAsia="Times New Roman" w:cs="Arial"/>
                <w:b/>
                <w:bCs/>
                <w:sz w:val="20"/>
                <w:lang w:eastAsia="hi-IN" w:bidi="hi-IN"/>
              </w:rPr>
              <w:t>SECCIÓN III</w:t>
            </w:r>
          </w:p>
          <w:p>
            <w:pPr>
              <w:suppressAutoHyphens/>
              <w:spacing w:after="0" w:line="240" w:lineRule="auto"/>
              <w:rPr>
                <w:rFonts w:ascii="Arial" w:hAnsi="Arial" w:eastAsia="Times New Roman" w:cs="Arial"/>
                <w:sz w:val="20"/>
                <w:lang w:eastAsia="hi-IN" w:bidi="hi-IN"/>
              </w:rPr>
            </w:pPr>
          </w:p>
        </w:tc>
        <w:tc>
          <w:tcPr>
            <w:tcW w:w="6835" w:type="dxa"/>
            <w:shd w:val="clear" w:color="auto" w:fill="auto"/>
          </w:tcPr>
          <w:p>
            <w:pPr>
              <w:suppressAutoHyphens/>
              <w:spacing w:after="0" w:line="240" w:lineRule="auto"/>
              <w:rPr>
                <w:rFonts w:ascii="Arial" w:hAnsi="Arial" w:eastAsia="Times New Roman" w:cs="Arial"/>
                <w:b/>
                <w:bCs/>
                <w:sz w:val="20"/>
                <w:lang w:eastAsia="hi-IN" w:bidi="hi-IN"/>
              </w:rPr>
            </w:pPr>
          </w:p>
          <w:p>
            <w:pPr>
              <w:suppressAutoHyphens/>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FASE CONTRACTUAL</w:t>
            </w:r>
          </w:p>
          <w:p>
            <w:pPr>
              <w:suppressAutoHyphens/>
              <w:spacing w:after="0" w:line="240" w:lineRule="auto"/>
              <w:rPr>
                <w:rFonts w:ascii="Arial" w:hAnsi="Arial" w:eastAsia="Times New Roman" w:cs="Arial"/>
                <w:sz w:val="20"/>
                <w:lang w:val="es-ES" w:eastAsia="hi-IN" w:bidi="hi-IN"/>
              </w:rPr>
            </w:pPr>
          </w:p>
          <w:p>
            <w:pPr>
              <w:suppressAutoHyphens/>
              <w:spacing w:after="0" w:line="240" w:lineRule="auto"/>
              <w:ind w:left="176"/>
              <w:rPr>
                <w:rFonts w:ascii="Arial" w:hAnsi="Arial" w:eastAsia="Times New Roman" w:cs="Arial"/>
                <w:sz w:val="20"/>
                <w:lang w:eastAsia="hi-IN" w:bidi="hi-IN"/>
              </w:rPr>
            </w:pPr>
            <w:r>
              <w:rPr>
                <w:rFonts w:ascii="Arial" w:hAnsi="Arial" w:eastAsia="Times New Roman" w:cs="Arial"/>
                <w:bCs/>
                <w:sz w:val="20"/>
                <w:lang w:eastAsia="hi-IN" w:bidi="hi-IN"/>
              </w:rPr>
              <w:t>3.1   Ejecución del contrato</w:t>
            </w:r>
          </w:p>
        </w:tc>
      </w:tr>
    </w:tbl>
    <w:p>
      <w:pPr>
        <w:widowControl w:val="0"/>
        <w:suppressAutoHyphens/>
        <w:overflowPunct w:val="0"/>
        <w:autoSpaceDE w:val="0"/>
        <w:spacing w:after="0" w:line="100" w:lineRule="atLeast"/>
        <w:jc w:val="center"/>
        <w:textAlignment w:val="baseline"/>
        <w:rPr>
          <w:rFonts w:ascii="Arial" w:hAnsi="Arial" w:eastAsia="Arial Unicode MS" w:cs="Arial"/>
          <w:b/>
          <w:bCs/>
          <w:sz w:val="18"/>
          <w:lang w:eastAsia="ar-SA"/>
        </w:rPr>
      </w:pPr>
    </w:p>
    <w:p>
      <w:pPr>
        <w:suppressAutoHyphens/>
        <w:spacing w:after="0" w:line="240" w:lineRule="auto"/>
        <w:jc w:val="center"/>
        <w:rPr>
          <w:rFonts w:ascii="Arial" w:hAnsi="Arial" w:eastAsia="Times New Roman" w:cs="Arial"/>
          <w:b/>
          <w:sz w:val="20"/>
          <w:szCs w:val="20"/>
          <w:lang w:eastAsia="hi-IN" w:bidi="hi-IN"/>
        </w:rPr>
      </w:pPr>
    </w:p>
    <w:p>
      <w:pPr>
        <w:suppressAutoHyphens/>
        <w:spacing w:after="0" w:line="240" w:lineRule="auto"/>
        <w:jc w:val="center"/>
        <w:rPr>
          <w:rFonts w:ascii="Arial" w:hAnsi="Arial" w:eastAsia="Times New Roman" w:cs="Arial"/>
          <w:b/>
          <w:sz w:val="20"/>
          <w:szCs w:val="20"/>
          <w:lang w:eastAsia="hi-IN" w:bidi="hi-IN"/>
        </w:rPr>
      </w:pP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SECCION I</w:t>
      </w: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DEL PROCEDIMIENTO DE CONTRATACIÓN</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Times New Roman" w:cs="Arial"/>
          <w:szCs w:val="20"/>
          <w:lang w:bidi="hi-IN"/>
        </w:rPr>
      </w:pPr>
      <w:r>
        <w:rPr>
          <w:rFonts w:ascii="Arial" w:hAnsi="Arial" w:eastAsia="Calibri" w:cs="Arial"/>
          <w:b/>
          <w:szCs w:val="20"/>
          <w:lang w:eastAsia="ar-SA" w:bidi="hi-IN"/>
        </w:rPr>
        <w:t xml:space="preserve">1. Comisión Técnica o Comisión Administrativa de Evaluación y Adjudicación (CAEA),  </w:t>
      </w:r>
      <w:r>
        <w:rPr>
          <w:rFonts w:ascii="Arial" w:hAnsi="Arial" w:eastAsia="Times New Roman" w:cs="Arial"/>
          <w:szCs w:val="20"/>
          <w:lang w:bidi="hi-IN"/>
        </w:rPr>
        <w:t xml:space="preserve">Esta comisión analizará las ofertas técnico – económicas de obras, incluso en el caso de haberse presentado una sola, considerando los parámetros de calificación establecidos en este pliego, y en el </w:t>
      </w:r>
      <w:r>
        <w:rPr>
          <w:rFonts w:ascii="Arial" w:hAnsi="Arial" w:eastAsia="Calibri" w:cs="Arial"/>
          <w:szCs w:val="20"/>
          <w:lang w:eastAsia="ar-SA" w:bidi="hi-IN"/>
        </w:rPr>
        <w:t xml:space="preserve">REGLAMENTO DE ADJUDICACION DE OBRAS Y FISCALIZACION CON RECURSOS CAF PARA EL PROGRAMA BARRIO PARA MEJOR VIVIR FASE II, dicha Comisión, </w:t>
      </w:r>
      <w:r>
        <w:rPr>
          <w:rFonts w:ascii="Arial" w:hAnsi="Arial" w:eastAsia="Times New Roman" w:cs="Arial"/>
          <w:szCs w:val="20"/>
          <w:lang w:bidi="hi-IN"/>
        </w:rPr>
        <w:t xml:space="preserve"> recomendará a la máxima autoridad de la entidad contratante la adjudicación o la declaratoria de procedimiento desierto. La CAEA, de creerlo  conveniente podrá designar la o las subcomisiones de apoyo para el análisis respectivo.</w:t>
      </w:r>
    </w:p>
    <w:p>
      <w:pPr>
        <w:suppressAutoHyphens/>
        <w:spacing w:after="0" w:line="240" w:lineRule="auto"/>
        <w:jc w:val="both"/>
        <w:rPr>
          <w:rFonts w:ascii="Arial" w:hAnsi="Arial" w:eastAsia="Times New Roman" w:cs="Arial"/>
          <w:szCs w:val="20"/>
          <w:lang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 Participantes:</w:t>
      </w:r>
      <w:r>
        <w:rPr>
          <w:rFonts w:ascii="Arial" w:hAnsi="Arial" w:eastAsia="Calibri" w:cs="Arial"/>
          <w:szCs w:val="20"/>
          <w:lang w:eastAsia="ar-SA" w:bidi="hi-IN"/>
        </w:rPr>
        <w:t xml:space="preserve">   De entre los profesionales personas naturales y jurídicas que hayan sido calificados por la Comisión Administrativa de Evaluación y Adjudicación, en apego a las normas establecidas en la Sección Cuarta del REGLAMENTO DE ADJUDICACION DE OBRAS Y FISCALIZACION CON RECURSOS CAF PARA EL PROGRAMA BARRIO PARA MEJOR VIVIR FASE II, precautelando los intereses del GAD Municipal del Cantón Cuenca, la CAEA analizará las propuestas presentadas y someterá a consideración de la Máxima Autoridad para la adjudicación que corresponda.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Para el caso de los participantes que se encuentren calificados dentro del GRUPO 5 Obras de Pavimento Flexible como compromiso de consorcio, deberán nombrar un  procurador común de entre ellos, que actuará a nombre de los comprometidos, adicionalmente el compromiso de asociación o consorcio deberá suscribirse en instrumento público. En caso de ser adjudicado, previo a la firma del contrato, y dentro del término previsto para la firma del mismo; el compromiso de consorcio deberá encontrarse legalmente constituido. </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Times New Roman" w:cs="Arial"/>
          <w:spacing w:val="-2"/>
          <w:szCs w:val="20"/>
          <w:lang w:eastAsia="hi-IN" w:bidi="hi-IN"/>
        </w:rPr>
      </w:pPr>
      <w:r>
        <w:rPr>
          <w:rFonts w:ascii="Arial" w:hAnsi="Arial" w:eastAsia="Calibri" w:cs="Arial"/>
          <w:b/>
          <w:szCs w:val="20"/>
          <w:lang w:eastAsia="ar-SA" w:bidi="hi-IN"/>
        </w:rPr>
        <w:t>1.2 Presentación y apertura de ofertas:</w:t>
      </w:r>
      <w:r>
        <w:rPr>
          <w:rFonts w:ascii="Arial" w:hAnsi="Arial" w:eastAsia="Times New Roman" w:cs="Arial"/>
          <w:bCs/>
          <w:szCs w:val="20"/>
          <w:lang w:bidi="hi-IN"/>
        </w:rPr>
        <w:t xml:space="preserve"> La oferta técnica – económica se presentará únicamente por los registrados en este rango, en original y copia debidamente anillada.  Numerada, sumillada y FIRMADA, así como en medio digital (oferta económica) en un sobre único en la Secretaría de la Comisión;</w:t>
      </w:r>
      <w:r>
        <w:rPr>
          <w:rFonts w:ascii="Arial" w:hAnsi="Arial" w:eastAsia="Times New Roman" w:cs="Arial"/>
          <w:spacing w:val="-2"/>
          <w:szCs w:val="20"/>
          <w:lang w:eastAsia="hi-IN" w:bidi="hi-IN"/>
        </w:rPr>
        <w:t xml:space="preserve"> ubicada en la calle Sucre y Benigno Malo (Edificio Municipal) Séptimo Piso, de acuerdo al cronograma establecido en los pliegos.</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Si al analizar las ofertas presentadas la Entidad Contratante determinare la existencia de uno o más errores de forma, reprogramará el cronograma del proceso en función del término concedido a los oferentes para efectos de que convaliden los errores de forma notificados. Para tal fin otorgará a los oferentes entre dos y máximo cinco días hábiles a partir de la correspondiente notificación.</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i/>
          <w:szCs w:val="20"/>
          <w:lang w:bidi="hi-IN"/>
        </w:rPr>
      </w:pPr>
      <w:r>
        <w:rPr>
          <w:rFonts w:ascii="Arial" w:hAnsi="Arial" w:eastAsia="Times New Roman" w:cs="Arial"/>
          <w:bCs/>
          <w:szCs w:val="20"/>
          <w:lang w:bidi="hi-IN"/>
        </w:rPr>
        <w:t>Para poder participar en el procedimiento, al momento de la presentación de la propuesta, los oferentes interesados deberán encontrarse registrados en este rango.</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Una hora más tarde de aquella fijada como límite para la presentación de las ofertas, se procederá a su apertura. El acto de apertura de ofertas será público y se efectuará en el lugar, día y hora fijados en la convocatoria.</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De la apertura, en la  que podrán estar presentes los oferentes que lo deseen, se levantará un acta que será suscrita por los integrantes de la Comisión de Administrativa de Evaluación y Adjudicación (CAEA), con la siguiente información:</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a) Nombre de los oferentes;</w:t>
      </w: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b) Valor de la oferta económica, identificada por oferente;</w:t>
      </w: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c) Plazo de ejecución propuesto por cada oferente;</w:t>
      </w: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d) Número de hojas de cada oferta, debidamente sumilladas y/o firmadas.</w:t>
      </w:r>
    </w:p>
    <w:p>
      <w:pPr>
        <w:suppressAutoHyphens/>
        <w:spacing w:after="0" w:line="240" w:lineRule="auto"/>
        <w:jc w:val="both"/>
        <w:rPr>
          <w:rFonts w:ascii="Arial" w:hAnsi="Arial" w:eastAsia="Calibri" w:cs="Arial"/>
          <w:b/>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1.3 Inhabilidades:</w:t>
      </w:r>
      <w:r>
        <w:rPr>
          <w:rFonts w:ascii="Arial" w:hAnsi="Arial" w:eastAsia="Calibri" w:cs="Arial"/>
          <w:szCs w:val="20"/>
          <w:lang w:eastAsia="ar-SA" w:bidi="hi-IN"/>
        </w:rPr>
        <w:t xml:space="preserve"> No podrán ser sujetos de adjudicación los participantes que incurrieren en falta u omisión de algúnrequisito establecido en los pliegos de esta convocatoria; previo a la adjudicación de una obra, la Comisión Administrativa de Evaluación y Adjudicación de creerlo necesario podrá solicitar documentos actualizados, así mismos tendrá la libertar de verificar la veracidad de la documentación presentada por los participantes por cualquier mecanismo legal, esto a fin de precautelar los intereses del GAD Municipal del Cantón Cuenca.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De verificarse con posterioridad que un participante incursionó en una inhabilidad, dará lugar a la terminación unilateral del contrato.</w:t>
      </w:r>
    </w:p>
    <w:p>
      <w:pPr>
        <w:suppressAutoHyphens/>
        <w:spacing w:after="0" w:line="240" w:lineRule="auto"/>
        <w:jc w:val="both"/>
        <w:rPr>
          <w:rFonts w:ascii="Arial" w:hAnsi="Arial" w:eastAsia="Calibri" w:cs="Arial"/>
          <w:szCs w:val="20"/>
          <w:lang w:eastAsia="ar-SA" w:bidi="hi-IN"/>
        </w:rPr>
      </w:pPr>
    </w:p>
    <w:p>
      <w:pPr>
        <w:tabs>
          <w:tab w:val="left" w:pos="180"/>
        </w:tabs>
        <w:spacing w:after="0" w:line="240" w:lineRule="auto"/>
        <w:ind w:left="15" w:right="45"/>
        <w:jc w:val="both"/>
        <w:rPr>
          <w:rFonts w:ascii="Arial" w:hAnsi="Arial" w:cs="Arial"/>
          <w:b/>
          <w:spacing w:val="-2"/>
        </w:rPr>
      </w:pPr>
      <w:r>
        <w:rPr>
          <w:rFonts w:ascii="Arial" w:hAnsi="Arial" w:cs="Arial"/>
          <w:b/>
          <w:spacing w:val="-2"/>
        </w:rPr>
        <w:t xml:space="preserve">1.4. Obligaciones de los oferentes: </w:t>
      </w:r>
      <w:r>
        <w:rPr>
          <w:rFonts w:ascii="Arial" w:hAnsi="Arial" w:cs="Arial"/>
          <w:spacing w:val="-2"/>
        </w:rPr>
        <w:t>Los oferentes deberán revisar cuidadosamente los pliegos y cumplir con todos los requisitos solicitados en ellos. Su omisión o descuido al revisar los documentos no le relevará de cumplir lo señalado en su propuesta.</w:t>
      </w:r>
    </w:p>
    <w:p>
      <w:pPr>
        <w:suppressAutoHyphens/>
        <w:spacing w:after="0" w:line="240" w:lineRule="auto"/>
        <w:jc w:val="both"/>
        <w:rPr>
          <w:rFonts w:ascii="Arial" w:hAnsi="Arial" w:eastAsia="Calibri" w:cs="Arial"/>
          <w:szCs w:val="20"/>
          <w:lang w:eastAsia="ar-SA" w:bidi="hi-IN"/>
        </w:rPr>
      </w:pPr>
    </w:p>
    <w:p>
      <w:pPr>
        <w:tabs>
          <w:tab w:val="left" w:pos="0"/>
        </w:tabs>
        <w:spacing w:after="0" w:line="240" w:lineRule="auto"/>
        <w:ind w:right="49"/>
        <w:jc w:val="both"/>
        <w:rPr>
          <w:rFonts w:ascii="Arial" w:hAnsi="Arial" w:cs="Arial"/>
          <w:spacing w:val="-2"/>
        </w:rPr>
      </w:pPr>
      <w:r>
        <w:rPr>
          <w:rFonts w:ascii="Arial" w:hAnsi="Arial" w:cs="Arial"/>
          <w:b/>
          <w:spacing w:val="-2"/>
        </w:rPr>
        <w:t xml:space="preserve">1.5. Preguntas, respuestas y aclaraciones: </w:t>
      </w:r>
      <w:r>
        <w:rPr>
          <w:rFonts w:ascii="Arial" w:hAnsi="Arial" w:cs="Arial"/>
          <w:spacing w:val="-2"/>
        </w:rPr>
        <w:t xml:space="preserve">Todo interesado en presentar propuestas en el procedimiento tiene la facultad y el derecho de, </w:t>
      </w:r>
      <w:r>
        <w:rPr>
          <w:rFonts w:ascii="Arial" w:hAnsi="Arial" w:cs="Arial"/>
          <w:i/>
          <w:spacing w:val="-2"/>
        </w:rPr>
        <w:t>en el caso de detectar un error, omisión o inconsistencia en el pliego, o si necesita una aclaración sobre una parte de los documentos</w:t>
      </w:r>
      <w:r>
        <w:rPr>
          <w:rFonts w:ascii="Arial" w:hAnsi="Arial" w:cs="Arial"/>
          <w:spacing w:val="-2"/>
        </w:rPr>
        <w:t xml:space="preserve">, solicitar a la Comisión Administrativa de Evaluación y Adjudicación, a través del correo electrónico </w:t>
      </w:r>
      <w:r>
        <w:fldChar w:fldCharType="begin"/>
      </w:r>
      <w:r>
        <w:instrText xml:space="preserve"> HYPERLINK "mailto:convocatoriacaf@cuenca.gob.ec" </w:instrText>
      </w:r>
      <w:r>
        <w:fldChar w:fldCharType="separate"/>
      </w:r>
      <w:r>
        <w:rPr>
          <w:rStyle w:val="42"/>
          <w:rFonts w:ascii="Arial" w:hAnsi="Arial" w:cs="Arial"/>
          <w:color w:val="auto"/>
          <w:spacing w:val="-2"/>
        </w:rPr>
        <w:t>convocatoriacaf@cuenca.gob.ec</w:t>
      </w:r>
      <w:r>
        <w:rPr>
          <w:rStyle w:val="42"/>
          <w:rFonts w:ascii="Arial" w:hAnsi="Arial" w:cs="Arial"/>
          <w:color w:val="auto"/>
          <w:spacing w:val="-2"/>
        </w:rPr>
        <w:fldChar w:fldCharType="end"/>
      </w:r>
      <w:r>
        <w:rPr>
          <w:rFonts w:ascii="Arial" w:hAnsi="Arial" w:cs="Arial"/>
          <w:spacing w:val="-2"/>
        </w:rPr>
        <w:t>, la respuesta a su inquietud o consulta. La Entidad responderá las preguntas o realizará las aclaraciones que fueren necesarias a través del mismo medio y publicará el acta de preguntas, respuestas y aclaraciones en la página web de la institución, de acuerdo a lo establecido en la convocatoria.</w:t>
      </w:r>
    </w:p>
    <w:p>
      <w:pPr>
        <w:tabs>
          <w:tab w:val="left" w:pos="0"/>
        </w:tabs>
        <w:spacing w:after="0" w:line="240" w:lineRule="auto"/>
        <w:ind w:right="49"/>
        <w:jc w:val="both"/>
        <w:rPr>
          <w:rFonts w:ascii="Arial" w:hAnsi="Arial" w:cs="Arial"/>
          <w:spacing w:val="-2"/>
        </w:rPr>
      </w:pPr>
    </w:p>
    <w:p>
      <w:pPr>
        <w:tabs>
          <w:tab w:val="left" w:pos="0"/>
          <w:tab w:val="left" w:pos="2520"/>
        </w:tabs>
        <w:spacing w:after="0" w:line="240" w:lineRule="auto"/>
        <w:ind w:right="96"/>
        <w:jc w:val="both"/>
        <w:rPr>
          <w:rStyle w:val="42"/>
          <w:rFonts w:ascii="Arial" w:hAnsi="Arial" w:cs="Arial"/>
          <w:color w:val="auto"/>
        </w:rPr>
      </w:pPr>
      <w:r>
        <w:rPr>
          <w:rFonts w:ascii="Arial" w:hAnsi="Arial" w:cs="Arial"/>
          <w:b/>
          <w:spacing w:val="-2"/>
        </w:rPr>
        <w:t>1.6. Modificación delos pliegos:</w:t>
      </w:r>
      <w:r>
        <w:rPr>
          <w:rFonts w:ascii="Arial" w:hAnsi="Arial" w:cs="Arial"/>
          <w:spacing w:val="-2"/>
        </w:rPr>
        <w:t xml:space="preserve"> La Comisión Administrativa de Evaluación y Adjudicación,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Institucional del GAD Municipal del Cantón Cuenca, previa autorización de CAF.</w:t>
      </w:r>
    </w:p>
    <w:p>
      <w:pPr>
        <w:tabs>
          <w:tab w:val="left" w:pos="180"/>
        </w:tabs>
        <w:spacing w:after="0" w:line="240" w:lineRule="auto"/>
        <w:ind w:right="45"/>
        <w:jc w:val="both"/>
        <w:rPr>
          <w:rFonts w:ascii="Arial" w:hAnsi="Arial" w:cs="Arial"/>
          <w:spacing w:val="-2"/>
          <w:lang w:val="es-ES"/>
        </w:rPr>
      </w:pPr>
    </w:p>
    <w:p>
      <w:pPr>
        <w:tabs>
          <w:tab w:val="left" w:pos="180"/>
        </w:tabs>
        <w:suppressAutoHyphens/>
        <w:spacing w:after="0" w:line="240" w:lineRule="auto"/>
        <w:ind w:left="15" w:right="45"/>
        <w:jc w:val="both"/>
        <w:rPr>
          <w:rFonts w:ascii="Arial" w:hAnsi="Arial" w:eastAsia="Times New Roman" w:cs="Arial"/>
          <w:spacing w:val="-2"/>
          <w:szCs w:val="20"/>
          <w:lang w:val="es-ES" w:eastAsia="hi-IN" w:bidi="hi-IN"/>
        </w:rPr>
      </w:pPr>
      <w:r>
        <w:rPr>
          <w:rFonts w:ascii="Arial" w:hAnsi="Arial" w:eastAsia="Times New Roman" w:cs="Arial"/>
          <w:b/>
          <w:szCs w:val="20"/>
          <w:lang w:eastAsia="hi-IN" w:bidi="hi-IN"/>
        </w:rPr>
        <w:t>1.7 Convalidación de errores de forma:</w:t>
      </w:r>
      <w:r>
        <w:rPr>
          <w:rFonts w:ascii="Arial" w:hAnsi="Arial" w:eastAsia="Times New Roman" w:cs="Arial"/>
          <w:spacing w:val="-2"/>
          <w:szCs w:val="20"/>
          <w:lang w:val="es-ES" w:eastAsia="hi-IN" w:bidi="hi-IN"/>
        </w:rPr>
        <w:t xml:space="preserve"> Si se presentaren errores de forma, los oferentes, en el término previsto en el cronograma  contado a partir de la fecha de notificación, podrán convalidarlos, previa petición de la entidad contratante, conforme a lo previsto en el artículo 11 del Reglamento de Adjudicación de Obras y Fiscalización Financiados con Recursos CAF para el Programa Barrio para Mejor Vivir Fase II y en las resoluciones emitidas por el SERCOP para el efecto.</w:t>
      </w:r>
    </w:p>
    <w:p>
      <w:pPr>
        <w:tabs>
          <w:tab w:val="left" w:pos="180"/>
        </w:tabs>
        <w:suppressAutoHyphens/>
        <w:spacing w:after="0" w:line="240" w:lineRule="auto"/>
        <w:ind w:left="15" w:right="45"/>
        <w:jc w:val="both"/>
        <w:rPr>
          <w:rFonts w:ascii="Arial" w:hAnsi="Arial" w:eastAsia="Times New Roman" w:cs="Arial"/>
          <w:spacing w:val="-2"/>
          <w:szCs w:val="20"/>
          <w:lang w:val="es-ES" w:eastAsia="hi-IN" w:bidi="hi-IN"/>
        </w:rPr>
      </w:pP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val="es-ES" w:eastAsia="hi-IN" w:bidi="hi-IN"/>
        </w:rPr>
        <w:t>1</w:t>
      </w:r>
      <w:r>
        <w:rPr>
          <w:rFonts w:ascii="Arial" w:hAnsi="Arial" w:eastAsia="Times New Roman" w:cs="Arial"/>
          <w:b/>
          <w:spacing w:val="-3"/>
          <w:szCs w:val="20"/>
          <w:lang w:eastAsia="hi-IN" w:bidi="hi-IN"/>
        </w:rPr>
        <w:t>.8 Causas de rechazo:</w:t>
      </w:r>
      <w:r>
        <w:rPr>
          <w:rFonts w:ascii="Arial" w:hAnsi="Arial" w:eastAsia="Times New Roman" w:cs="Arial"/>
          <w:spacing w:val="-3"/>
          <w:szCs w:val="20"/>
          <w:lang w:eastAsia="hi-IN" w:bidi="hi-IN"/>
        </w:rPr>
        <w:t xml:space="preserve"> Luego de evaluados los documentos de la oferta, la CAEA, podrá rechazar una o más ofertas por las siguientes causas:</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tabs>
          <w:tab w:val="left" w:pos="1584"/>
          <w:tab w:val="left" w:pos="3013"/>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1.8.1.</w:t>
      </w:r>
      <w:r>
        <w:rPr>
          <w:rFonts w:ascii="Arial" w:hAnsi="Arial" w:eastAsia="Times New Roman" w:cs="Arial"/>
          <w:spacing w:val="-3"/>
          <w:szCs w:val="20"/>
          <w:lang w:eastAsia="hi-IN" w:bidi="hi-IN"/>
        </w:rPr>
        <w:t xml:space="preserve"> Si no cumpliera todos los requisitos exigidos en las condiciones generales y condiciones particulares delos pliegos.</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1.8.2.</w:t>
      </w:r>
      <w:r>
        <w:rPr>
          <w:rFonts w:ascii="Arial" w:hAnsi="Arial" w:eastAsia="Times New Roman" w:cs="Arial"/>
          <w:spacing w:val="-3"/>
          <w:szCs w:val="20"/>
          <w:lang w:eastAsia="hi-IN" w:bidi="hi-IN"/>
        </w:rPr>
        <w:t xml:space="preserve"> Si se hubiera entregado y/o presentado la oferta en lugar distinto al fijado o después de la hora establecida para ello. </w:t>
      </w:r>
    </w:p>
    <w:p>
      <w:pPr>
        <w:suppressAutoHyphens/>
        <w:spacing w:after="0" w:line="240" w:lineRule="auto"/>
        <w:ind w:left="15" w:right="45"/>
        <w:jc w:val="both"/>
        <w:rPr>
          <w:rFonts w:ascii="Arial" w:hAnsi="Arial" w:eastAsia="Times New Roman" w:cs="Arial"/>
          <w:spacing w:val="-3"/>
          <w:szCs w:val="20"/>
          <w:lang w:eastAsia="hi-IN" w:bidi="hi-IN"/>
        </w:rPr>
      </w:pPr>
    </w:p>
    <w:p>
      <w:pPr>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1.8.3.</w:t>
      </w:r>
      <w:r>
        <w:rPr>
          <w:rFonts w:ascii="Arial" w:hAnsi="Arial" w:eastAsia="Times New Roman" w:cs="Arial"/>
          <w:spacing w:val="-3"/>
          <w:szCs w:val="20"/>
          <w:lang w:eastAsia="hi-IN" w:bidi="hi-IN"/>
        </w:rPr>
        <w:t xml:space="preserve"> Cuando las ofertas contengan errores sustanciales, y/o evidentes, que no puedan ser convalidados, de acuerdo a lo señalado en las resoluciones emitidas por el SERCOP. </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1.8.4.</w:t>
      </w:r>
      <w:r>
        <w:rPr>
          <w:rFonts w:ascii="Arial" w:hAnsi="Arial" w:eastAsia="Times New Roman" w:cs="Arial"/>
          <w:spacing w:val="-3"/>
          <w:szCs w:val="20"/>
          <w:lang w:eastAsia="hi-IN" w:bidi="hi-IN"/>
        </w:rPr>
        <w:t xml:space="preserve"> 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1.8.5.</w:t>
      </w:r>
      <w:r>
        <w:rPr>
          <w:rFonts w:ascii="Arial" w:hAnsi="Arial" w:eastAsia="Times New Roman" w:cs="Arial"/>
          <w:spacing w:val="-3"/>
          <w:szCs w:val="20"/>
          <w:lang w:eastAsia="hi-IN" w:bidi="hi-IN"/>
        </w:rPr>
        <w:t xml:space="preserve"> Si el oferente no hubiere atendido la petición de convalidación, en el término fijado para el efecto, de acuerdo a lo dispuesto en </w:t>
      </w:r>
      <w:r>
        <w:rPr>
          <w:rFonts w:ascii="Arial" w:hAnsi="Arial" w:eastAsia="Times New Roman" w:cs="Arial"/>
          <w:spacing w:val="-2"/>
          <w:szCs w:val="20"/>
          <w:lang w:val="es-ES" w:eastAsia="hi-IN" w:bidi="hi-IN"/>
        </w:rPr>
        <w:t>artículo 11 del Reglamento de Adjudicación de Obras y Fiscalización Financiados con Recursos CAF para el Programa Barrio para Mejor Vivir Fase II,</w:t>
      </w:r>
      <w:r>
        <w:rPr>
          <w:rFonts w:ascii="Arial" w:hAnsi="Arial" w:eastAsia="Times New Roman" w:cs="Arial"/>
          <w:spacing w:val="-3"/>
          <w:szCs w:val="20"/>
          <w:lang w:eastAsia="hi-IN" w:bidi="hi-IN"/>
        </w:rPr>
        <w:t>y en la resolución emitida por el SERCOP, siempre y cuando el error no convalidado constituya causal de rechazo.</w:t>
      </w: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1.8.6.</w:t>
      </w:r>
      <w:r>
        <w:rPr>
          <w:rFonts w:ascii="Arial" w:hAnsi="Arial" w:eastAsia="Times New Roman" w:cs="Arial"/>
          <w:spacing w:val="-3"/>
          <w:szCs w:val="20"/>
          <w:lang w:eastAsia="hi-IN" w:bidi="hi-IN"/>
        </w:rPr>
        <w:t xml:space="preserve"> Si </w:t>
      </w:r>
      <w:r>
        <w:rPr>
          <w:rFonts w:ascii="Arial" w:hAnsi="Arial" w:eastAsia="Times New Roman" w:cs="Arial"/>
          <w:bCs/>
          <w:szCs w:val="20"/>
          <w:lang w:bidi="hi-IN"/>
        </w:rPr>
        <w:t>al momento de la presentación de la propuesta, el oferente interesado no se encontrare registrado en este rango.</w:t>
      </w: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spacing w:val="-3"/>
          <w:szCs w:val="20"/>
          <w:lang w:eastAsia="hi-IN" w:bidi="hi-IN"/>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referida en cualquier documento de la oferta, relacionada o no con el objeto de la contratación, para validar la información manifestada en la oferta.</w:t>
      </w:r>
    </w:p>
    <w:p>
      <w:pPr>
        <w:tabs>
          <w:tab w:val="left" w:pos="4207"/>
        </w:tabs>
        <w:suppressAutoHyphens/>
        <w:spacing w:after="0" w:line="240" w:lineRule="auto"/>
        <w:ind w:left="15" w:right="45"/>
        <w:jc w:val="both"/>
        <w:rPr>
          <w:rFonts w:ascii="Arial" w:hAnsi="Arial" w:eastAsia="Times New Roman" w:cs="Arial"/>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Cs w:val="20"/>
          <w:lang w:eastAsia="hi-IN" w:bidi="hi-IN"/>
        </w:rPr>
      </w:pPr>
      <w:r>
        <w:rPr>
          <w:rFonts w:ascii="Arial" w:hAnsi="Arial" w:eastAsia="Times New Roman" w:cs="Arial"/>
          <w:spacing w:val="-3"/>
          <w:szCs w:val="20"/>
          <w:lang w:eastAsia="hi-IN" w:bidi="hi-IN"/>
        </w:rPr>
        <w:t xml:space="preserve">La adjudicación se circunscribirá a las ofertas calificadas. </w:t>
      </w:r>
      <w:r>
        <w:rPr>
          <w:rFonts w:ascii="Arial" w:hAnsi="Arial" w:eastAsia="Times New Roman" w:cs="Arial"/>
          <w:spacing w:val="-2"/>
          <w:szCs w:val="20"/>
          <w:lang w:eastAsia="hi-IN" w:bidi="hi-IN"/>
        </w:rPr>
        <w:t xml:space="preserve">No se aceptarán ofertas alternativas. </w:t>
      </w:r>
    </w:p>
    <w:p>
      <w:pPr>
        <w:tabs>
          <w:tab w:val="left" w:pos="-540"/>
        </w:tabs>
        <w:suppressAutoHyphens/>
        <w:spacing w:after="0" w:line="240" w:lineRule="auto"/>
        <w:ind w:left="15" w:right="45"/>
        <w:jc w:val="both"/>
        <w:rPr>
          <w:rFonts w:ascii="Arial" w:hAnsi="Arial" w:eastAsia="Times New Roman" w:cs="Arial"/>
          <w:spacing w:val="-2"/>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Cs w:val="20"/>
          <w:lang w:eastAsia="hi-IN" w:bidi="hi-IN"/>
        </w:rPr>
      </w:pPr>
      <w:r>
        <w:rPr>
          <w:rFonts w:ascii="Arial" w:hAnsi="Arial" w:eastAsia="Times New Roman" w:cs="Arial"/>
          <w:spacing w:val="-2"/>
          <w:szCs w:val="20"/>
          <w:lang w:eastAsia="hi-IN" w:bidi="hi-IN"/>
        </w:rPr>
        <w:t>Ningún oferente podrá intervenir con más de una oferta.</w:t>
      </w:r>
    </w:p>
    <w:p>
      <w:pPr>
        <w:tabs>
          <w:tab w:val="left" w:pos="180"/>
        </w:tabs>
        <w:suppressAutoHyphens/>
        <w:spacing w:after="0" w:line="240" w:lineRule="auto"/>
        <w:ind w:left="15" w:right="45"/>
        <w:jc w:val="both"/>
        <w:rPr>
          <w:rFonts w:ascii="Arial" w:hAnsi="Arial" w:eastAsia="Times New Roman" w:cs="Arial"/>
          <w:spacing w:val="-2"/>
          <w:szCs w:val="20"/>
          <w:lang w:eastAsia="hi-IN"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1.9. Adjudicación y notificación:</w:t>
      </w:r>
      <w:r>
        <w:rPr>
          <w:rFonts w:ascii="Arial" w:hAnsi="Arial" w:eastAsia="Calibri" w:cs="Arial"/>
          <w:szCs w:val="20"/>
          <w:lang w:eastAsia="ar-SA" w:bidi="hi-IN"/>
        </w:rPr>
        <w:t xml:space="preserve"> La CAEA, luego del análisis correspondiente sugerirá a la Máxima Autoridad del GAD Municipal del cantón Cuenca, la adjudicación del contrato en apego a las normas establecidas.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1.10. Obligaciones de los adjudicatarios</w:t>
      </w:r>
      <w:r>
        <w:rPr>
          <w:rFonts w:ascii="Arial" w:hAnsi="Arial" w:eastAsia="Calibri" w:cs="Arial"/>
          <w:szCs w:val="20"/>
          <w:lang w:eastAsia="ar-SA" w:bidi="hi-IN"/>
        </w:rPr>
        <w:t>: Los adjudicatarios deberán cumplir con todos los requisitos solicitados.</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a cabalidad y dentro de los plazos establecidos la ejecución de las obras.</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Encontrarse en goce de los derechos de ciudanía.</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con la normativa vigente en lo referente a Seguridad Social.</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con las normas de protección ambiental vigentes para el caso.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a cabalidad con todas las obligaciones adquiridas en el contrato.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Garantizar la calidad de la obra, de tal manera que se cumplan todos los parámetros y especificaciones técnicas establecidas para el efecto.</w:t>
      </w:r>
    </w:p>
    <w:p>
      <w:pPr>
        <w:numPr>
          <w:ilvl w:val="0"/>
          <w:numId w:val="11"/>
        </w:numPr>
        <w:suppressAutoHyphens/>
        <w:spacing w:after="0" w:line="240" w:lineRule="auto"/>
        <w:jc w:val="both"/>
        <w:rPr>
          <w:rFonts w:ascii="Times Roman" w:hAnsi="Times Roman" w:eastAsia="Times New Roman" w:cs="Times New Roman"/>
          <w:szCs w:val="20"/>
          <w:lang w:eastAsia="hi-IN" w:bidi="hi-IN"/>
        </w:rPr>
      </w:pPr>
      <w:r>
        <w:rPr>
          <w:rFonts w:ascii="Arial" w:hAnsi="Arial" w:eastAsia="Times New Roman" w:cs="Arial"/>
          <w:szCs w:val="20"/>
          <w:lang w:eastAsia="hi-IN" w:bidi="hi-IN"/>
        </w:rPr>
        <w:t>El personal técnico propuesto para la ejecución de la obra deberá permanecer en la misma de acuerdo a lo establecido en estos pliegos</w:t>
      </w:r>
      <w:r>
        <w:rPr>
          <w:rFonts w:ascii="Times Roman" w:hAnsi="Times Roman" w:eastAsia="Times New Roman" w:cs="Times New Roman"/>
          <w:szCs w:val="20"/>
          <w:lang w:eastAsia="hi-IN" w:bidi="hi-IN"/>
        </w:rPr>
        <w:t>.</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Se deberá dar fiel cumplimiento al Plan de Monitoreo y Seguimiento Ambiental durante la etapa de construcción para los aspectos: calidad de aire y ruido.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Presentar informes mensuales, trimestrales y el informe final de cumplimientos ambientales; mismos que deben evaluar la normativa ambiental vigente aplicable al proyecto, de manera adicional al Plan de Manejo Ambiental. Los criterios de evaluación ambiental del cumplimiento deberán regirse a lo establecido en el art. 275 del TULSMA (Acuerdo Ministerial 061 publicado en el Registro oficial No. 316 del 4 de mayo de 2015).</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1.11. Garantías:</w:t>
      </w:r>
      <w:r>
        <w:rPr>
          <w:rFonts w:ascii="Arial" w:hAnsi="Arial" w:eastAsia="Calibri" w:cs="Arial"/>
          <w:szCs w:val="20"/>
          <w:lang w:eastAsia="ar-SA" w:bidi="hi-IN"/>
        </w:rPr>
        <w:t xml:space="preserve"> En forma previa a la suscripción de todo contrato derivado del presente procedimiento, se deberán presentar las siguientes garantías: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1.11.1. Garantía de fiel cumplimiento.-</w:t>
      </w:r>
      <w:r>
        <w:rPr>
          <w:rFonts w:ascii="Arial" w:hAnsi="Arial" w:eastAsia="Calibri" w:cs="Arial"/>
          <w:szCs w:val="20"/>
          <w:lang w:eastAsia="ar-SA" w:bidi="hi-IN"/>
        </w:rPr>
        <w:t xml:space="preserve"> Para seguridad del cumplimiento del contrato y para responder por las obligaciones que contrajeren a favor de terceros, relacionadas con el contrato, el adjudicatario, antes o al momento de la firma del contrato, rendirá una garantía por un monto equivalente al cinco (5%) por ciento del valor de aquel. Esta garantía permitirá  asegurar la debida ejecución de la obra y la buena calidad de los materiales, asegurando con ello las reparaciones o cambios de aquellas partes de la obra en la que se descubran defectos de construcción, mala calidad o incumplimiento de las especificaciones, imputables al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Con cargo a la garantía de fiel cumplimiento se podrá efectivizar las multas que le fueren impuestas al contratista.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De conformidad al Art. 74 de la LOSNCP, si la oferta económica corregida fuese inferior al presupuesto referencial en un porcentaje igual o superior al diez (10%) por ciento de éste, la garantía de fiel cumplimiento deberá incrementarse en un monto equivalente al veinte (20%) por ciento de la diferencia entre el presupuesto referencial y la cuantía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 xml:space="preserve">1.11.2. Garantía por anticipo.- </w:t>
      </w:r>
      <w:r>
        <w:rPr>
          <w:rFonts w:ascii="Arial" w:hAnsi="Arial" w:eastAsia="Calibri" w:cs="Arial"/>
          <w:szCs w:val="20"/>
          <w:lang w:eastAsia="ar-SA" w:bidi="hi-IN"/>
        </w:rPr>
        <w:t>El contratista para recibir el anticipo, deberá rendir previamente garantías por igual valor del anticipo, que se reducirán en la proporción que se vaya amortizando aquél o se reciban provisionalmente las obras. Las cartas de crédito no se considerarán anticipo si su pago está condicionado a la entrega - recepción de los bienes u obras materia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monto del anticipo lo regulará el GAD Municipal del cantón Cuenca, en las condiciones particulares de los procedimientos, el anticipo entregado por la entidad será devengado proporcionalmente al momento del pago de cada planilla hasta la terminación del plazo contractual inicialmente estipulado y constará en el cronograma pertinente que es parte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 garantía de fiel cumplimiento se devolverá al momento de la entrega recepción definitiva, real o presunta.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1.11.3 Formas de garantías.-</w:t>
      </w:r>
      <w:r>
        <w:rPr>
          <w:rFonts w:ascii="Arial" w:hAnsi="Arial" w:eastAsia="Calibri" w:cs="Arial"/>
          <w:szCs w:val="20"/>
          <w:lang w:eastAsia="ar-SA" w:bidi="hi-IN"/>
        </w:rPr>
        <w:t xml:space="preserve"> Los contratistas podrán rendir cualquiera de las siguientes garantías:</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Garantía incondicional, irrevocable y de cobro inmediato, otorgada por un banco o institución financiera establecidos en el país o por intermedio de ellos;</w:t>
      </w:r>
    </w:p>
    <w:p>
      <w:pPr>
        <w:suppressAutoHyphens/>
        <w:spacing w:after="0" w:line="240" w:lineRule="auto"/>
        <w:jc w:val="both"/>
        <w:rPr>
          <w:rFonts w:ascii="Arial" w:hAnsi="Arial" w:eastAsia="Times New Roman" w:cs="Arial"/>
          <w:szCs w:val="20"/>
          <w:lang w:eastAsia="hi-IN"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GAD Municipal del cantón Cuenta podrá requerir los seguros o condiciones de protección para las personas que presten sus servicios en la ejecución de las obras.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1.12 Cancelación del procedimiento:</w:t>
      </w:r>
      <w:r>
        <w:rPr>
          <w:rFonts w:ascii="Arial" w:hAnsi="Arial" w:eastAsia="Calibri" w:cs="Arial"/>
          <w:szCs w:val="20"/>
          <w:lang w:eastAsia="ar-SA" w:bidi="hi-IN"/>
        </w:rPr>
        <w:t xml:space="preserve"> En cualquier momento, la CAEA podrá sugerir a la Máxima Autoridad, la cancelación del o los procedimientos, mediante resolución debidamente motivada.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1.13 Suscripción del contrato:</w:t>
      </w:r>
      <w:r>
        <w:rPr>
          <w:rFonts w:ascii="Arial" w:hAnsi="Arial" w:eastAsia="Calibri" w:cs="Arial"/>
          <w:szCs w:val="20"/>
          <w:lang w:eastAsia="ar-SA" w:bidi="hi-IN"/>
        </w:rPr>
        <w:t xml:space="preserve"> Dentro del término de 15 días, contados a partir de la fecha de notificación de la adjudicación, el contratista estará en la obligación de suscribir el contrato, de no hacerlo, y no presentar justificativos válidos la CAEA, podrá recomendar a la Máxima Autoridad, la declaratoria de Adjudicatario Fallido y sugerirá un nuevo adjudicatario, con base al orden de la puntuación obtenida.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1.14 Precios unitarios y reajuste:</w:t>
      </w:r>
      <w:r>
        <w:rPr>
          <w:rFonts w:ascii="Arial" w:hAnsi="Arial" w:eastAsia="Calibri" w:cs="Arial"/>
          <w:szCs w:val="20"/>
          <w:lang w:eastAsia="ar-SA" w:bidi="hi-IN"/>
        </w:rPr>
        <w:t xml:space="preserve"> Todo contrato cuya forma de pago corresponda al sistema de precios unitarios se sujetará al sistema de reajuste de precios, salvo que el contratista renuncie expresamente al reajuste de precios y así se haga constar en el contrato respectivo.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Las cantidades de obra que constarán en el contrato son estimadas y pueden variar durante la ejecución del mismo.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Los precios unitarios podrán ser reajustados si durante la ejecución del contrato se produjeren variaciones de los costos de sus componentes. El reajuste se efectuará mediante la aplicación de fórmula(s) elaborada(s) con base a los precios unitarios ofertados.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1.15 Moneda de cotización y pago:</w:t>
      </w:r>
      <w:r>
        <w:rPr>
          <w:rFonts w:ascii="Arial" w:hAnsi="Arial" w:eastAsia="Calibri" w:cs="Arial"/>
          <w:szCs w:val="20"/>
          <w:lang w:eastAsia="ar-SA" w:bidi="hi-IN"/>
        </w:rPr>
        <w:t xml:space="preserve"> los pagos se realizarán en la moneda de circulación oficial en el Ecuador.</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1.16 Administración del contrato:</w:t>
      </w:r>
      <w:r>
        <w:rPr>
          <w:rFonts w:ascii="Arial" w:hAnsi="Arial" w:eastAsia="Calibri" w:cs="Arial"/>
          <w:szCs w:val="20"/>
          <w:lang w:eastAsia="ar-SA" w:bidi="hi-IN"/>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y aprobará las multas y/o sanciones a que hubiere lugar y que hubieran sido solicitadas o establecidas por la fiscalización.</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administrador del contrato velará porque la fiscalización actúe de acuerdo con las especificaciones constantes en el presente pliego y en el propio contrato; revisará las planillas aprobadas previas a su autorización para la correspondiente gestión de pago.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1.17 Fiscalización:</w:t>
      </w:r>
      <w:r>
        <w:rPr>
          <w:rFonts w:ascii="Arial" w:hAnsi="Arial" w:eastAsia="Calibri" w:cs="Arial"/>
          <w:szCs w:val="20"/>
          <w:lang w:eastAsia="ar-SA" w:bidi="hi-IN"/>
        </w:rPr>
        <w:t xml:space="preserve">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subcontratación, especificaciones técnicas, cronogramas de trabajo, recomendaciones de los diseñadores, transferencia tecnológica, cuando corresponda, y normas técnicas aplicables, con sujeción a lo previsto en 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 sin la justificación técnica correspondiente.</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En el caso de existir diferencias entre la fiscalización y el contratista, éste último podrá solicitar la intervención del administrador del contrato a fin de que dirima la situación o desavenencia que se hubiera presentado.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1.18 Control ambiental:</w:t>
      </w:r>
      <w:r>
        <w:rPr>
          <w:rFonts w:ascii="Arial" w:hAnsi="Arial" w:eastAsia="Calibri" w:cs="Arial"/>
          <w:szCs w:val="20"/>
          <w:lang w:eastAsia="ar-SA" w:bidi="hi-IN"/>
        </w:rPr>
        <w:t xml:space="preserve"> El contratista deberá realizar todas las actividades constructivas a su cargo, cumpliendo con la normativa ambiental vigente.</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1.19 Subcontratación:</w:t>
      </w:r>
      <w:r>
        <w:rPr>
          <w:rFonts w:ascii="Arial" w:hAnsi="Arial" w:eastAsia="Calibri" w:cs="Arial"/>
          <w:szCs w:val="20"/>
          <w:lang w:eastAsia="ar-SA" w:bidi="hi-IN"/>
        </w:rPr>
        <w:t xml:space="preserve"> El contratista, bajo su riesgo y responsabilidad podrá subcontratar hasta el 30% del monto total de la obra adjudicada, con personas naturales o jurídicas registradas y habilitadas en el RUP, domiciliadas en la localidad o circunscripción geográfica en la que se ejecutará el proyecto, siempre y cuando cuente con la aprobación del administrador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tabs>
          <w:tab w:val="left" w:pos="3510"/>
          <w:tab w:val="center" w:pos="4252"/>
        </w:tabs>
        <w:suppressAutoHyphens/>
        <w:spacing w:after="0" w:line="240" w:lineRule="auto"/>
        <w:rPr>
          <w:rFonts w:ascii="Arial" w:hAnsi="Arial" w:eastAsia="Calibri" w:cs="Arial"/>
          <w:b/>
          <w:szCs w:val="20"/>
          <w:lang w:eastAsia="ar-SA" w:bidi="hi-IN"/>
        </w:rPr>
      </w:pPr>
      <w:r>
        <w:rPr>
          <w:rFonts w:ascii="Arial" w:hAnsi="Arial" w:eastAsia="Calibri" w:cs="Arial"/>
          <w:b/>
          <w:szCs w:val="20"/>
          <w:lang w:eastAsia="ar-SA" w:bidi="hi-IN"/>
        </w:rPr>
        <w:tab/>
      </w:r>
      <w:r>
        <w:rPr>
          <w:rFonts w:ascii="Arial" w:hAnsi="Arial" w:eastAsia="Calibri" w:cs="Arial"/>
          <w:b/>
          <w:szCs w:val="20"/>
          <w:lang w:eastAsia="ar-SA" w:bidi="hi-IN"/>
        </w:rPr>
        <w:tab/>
      </w:r>
      <w:r>
        <w:rPr>
          <w:rFonts w:ascii="Arial" w:hAnsi="Arial" w:eastAsia="Calibri" w:cs="Arial"/>
          <w:b/>
          <w:szCs w:val="20"/>
          <w:lang w:eastAsia="ar-SA" w:bidi="hi-IN"/>
        </w:rPr>
        <w:t>SECCIÓN II</w:t>
      </w:r>
    </w:p>
    <w:p>
      <w:pPr>
        <w:suppressAutoHyphens/>
        <w:spacing w:after="0" w:line="240" w:lineRule="auto"/>
        <w:jc w:val="center"/>
        <w:rPr>
          <w:rFonts w:ascii="Arial" w:hAnsi="Arial" w:eastAsia="Calibri" w:cs="Arial"/>
          <w:b/>
          <w:szCs w:val="20"/>
          <w:lang w:eastAsia="ar-SA" w:bidi="hi-IN"/>
        </w:rPr>
      </w:pPr>
      <w:r>
        <w:rPr>
          <w:rFonts w:ascii="Arial" w:hAnsi="Arial" w:eastAsia="Calibri" w:cs="Arial"/>
          <w:b/>
          <w:szCs w:val="20"/>
          <w:lang w:eastAsia="ar-SA" w:bidi="hi-IN"/>
        </w:rPr>
        <w:t>FASE CONTRACTUAL</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2. 1.</w:t>
      </w:r>
      <w:r>
        <w:rPr>
          <w:rFonts w:ascii="Arial" w:hAnsi="Arial" w:eastAsia="Calibri" w:cs="Arial"/>
          <w:b/>
          <w:szCs w:val="20"/>
          <w:lang w:eastAsia="ar-SA" w:bidi="hi-IN"/>
        </w:rPr>
        <w:tab/>
      </w:r>
      <w:r>
        <w:rPr>
          <w:rFonts w:ascii="Arial" w:hAnsi="Arial" w:eastAsia="Calibri" w:cs="Arial"/>
          <w:b/>
          <w:szCs w:val="20"/>
          <w:lang w:eastAsia="ar-SA" w:bidi="hi-IN"/>
        </w:rPr>
        <w:t>Ejecución del contrato:</w:t>
      </w:r>
    </w:p>
    <w:p>
      <w:pPr>
        <w:suppressAutoHyphens/>
        <w:spacing w:after="0" w:line="240" w:lineRule="auto"/>
        <w:jc w:val="both"/>
        <w:rPr>
          <w:rFonts w:ascii="Arial" w:hAnsi="Arial" w:eastAsia="Calibri" w:cs="Arial"/>
          <w:b/>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2.1.1. Inicio, planificación y control de obra:</w:t>
      </w:r>
      <w:r>
        <w:rPr>
          <w:rFonts w:ascii="Arial" w:hAnsi="Arial" w:eastAsia="Calibri" w:cs="Arial"/>
          <w:szCs w:val="20"/>
          <w:lang w:eastAsia="ar-SA" w:bidi="hi-IN"/>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 la fiscalización reprogramará y actualizará el cronograma valorado de trabajos y el programa de uso de personal y equipos.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2.1.2. Cumplimiento de especificaciones:</w:t>
      </w:r>
      <w:r>
        <w:rPr>
          <w:rFonts w:ascii="Arial" w:hAnsi="Arial" w:eastAsia="Calibri" w:cs="Arial"/>
          <w:szCs w:val="20"/>
          <w:lang w:eastAsia="ar-SA" w:bidi="hi-IN"/>
        </w:rPr>
        <w:t xml:space="preserve"> Todos los trabajos deben efectuarse en estricto cumplimiento de las disposiciones del contrato y de las especificaciones técnicas, y dentro de las medidas y tolerancias establecidas en planos y dibujos aprobados por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En caso de que cualquier dato o información no hubieren sido establecidos o el contratista no pudiere obtenerla directamente de los planos, éstas se solicitarán a la fiscalización. La fiscalización proporcionará, cuando considere necesario, instrucciones, planos y dibujos suplementarios o de detalle, para realizar satisfactoriamente el proyecto.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2.1.3. Personal del contratista:</w:t>
      </w:r>
      <w:r>
        <w:rPr>
          <w:rFonts w:ascii="Arial" w:hAnsi="Arial" w:eastAsia="Calibri" w:cs="Arial"/>
          <w:szCs w:val="20"/>
          <w:lang w:eastAsia="ar-SA" w:bidi="hi-IN"/>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2.1.4. Materiales:</w:t>
      </w:r>
      <w:r>
        <w:rPr>
          <w:rFonts w:ascii="Arial" w:hAnsi="Arial" w:eastAsia="Calibri" w:cs="Arial"/>
          <w:szCs w:val="20"/>
          <w:lang w:eastAsia="ar-SA" w:bidi="hi-IN"/>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superficies firmes o bajo cubierta, o que se almacenen en sitios o bodegas cubiertas, sin que ello implique un aumento en los precios y/o en los plazos contractuales.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Los materiales almacenados, aun cuando se haya aprobado antes de su uso, serán revisados al momento de su utilización, para verificar su conformidad con las especificaciones.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2.1.5. Obligaciones del contratista:</w:t>
      </w:r>
      <w:r>
        <w:rPr>
          <w:rFonts w:ascii="Arial" w:hAnsi="Arial" w:eastAsia="Calibri" w:cs="Arial"/>
          <w:szCs w:val="20"/>
          <w:lang w:eastAsia="ar-SA" w:bidi="hi-IN"/>
        </w:rPr>
        <w:t xml:space="preserve"> 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Los sueldos y salarios de los trabajadores del contratista se estipularán libremente, pero no serán inferiores a los mínimos legales vigentes en el país. </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Serán también de cuenta del contratista y a su costo, todas las obligaciones a las que está sujeto según las leyes, normas y reglamentos relativos a la seguridad social.</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además, deberá notificar a la Entidad Contratante cualquier situación que le justifique la sustitución, reemplazo o cambio de su(s) subcontratista(s).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deberá dar cumplimiento a todas las leyes laborales, ambientales y reglamentos de seguridad industrial y a lo establecido en el Plan de Manejo Ambiental.</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en general, deberá cumplir con todas las obligaciones que naturalmente se desprendan o emanen del contrato suscrito.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2.1.6. Obligaciones de la contratante:</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Designar al administrador del contrato.</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Designar/contratar a la fiscalización del contrato</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pPr>
        <w:suppressAutoHyphens/>
        <w:spacing w:after="0" w:line="240" w:lineRule="auto"/>
        <w:jc w:val="both"/>
        <w:rPr>
          <w:rFonts w:ascii="Arial" w:hAnsi="Arial" w:eastAsia="Times New Roman" w:cs="Arial"/>
          <w:szCs w:val="20"/>
          <w:lang w:eastAsia="hi-IN"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2.1.7. Vigilancia y custodia:</w:t>
      </w:r>
      <w:r>
        <w:rPr>
          <w:rFonts w:ascii="Arial" w:hAnsi="Arial" w:eastAsia="Calibri" w:cs="Arial"/>
          <w:szCs w:val="20"/>
          <w:lang w:eastAsia="ar-SA" w:bidi="hi-IN"/>
        </w:rPr>
        <w:t xml:space="preserve"> El contratista tiene la obligación de cuidar las obras a él encomendadas hasta la recepción definitiva de las mismas, para lo cual deberá proporcionar el personal y las instalaciones adecuadas.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2.1.8. Trabajos defectuosos o no autorizados</w:t>
      </w:r>
      <w:r>
        <w:rPr>
          <w:rFonts w:ascii="Arial" w:hAnsi="Arial" w:eastAsia="Calibri" w:cs="Arial"/>
          <w:szCs w:val="20"/>
          <w:lang w:eastAsia="ar-SA" w:bidi="hi-IN"/>
        </w:rPr>
        <w:t>: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a que haya lugar. Podrá ordenar la demolición y reemplazo de tales obras, todo a cuenta y costo del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Es trabajo no autorizado el realizado por el contratista antes de recibir los planos para dichos trabajos, o el que se ejecuta contrariando las órdenes de la fiscalización; por tal razón, correrán por cuenta del contratista las rectificaciones o reposiciones a que haya lugar, los costos y el tiempo que ello conlleve.</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2.1.9. Pagos:</w:t>
      </w:r>
      <w:r>
        <w:rPr>
          <w:rFonts w:ascii="Arial" w:hAnsi="Arial" w:eastAsia="Calibri" w:cs="Arial"/>
          <w:szCs w:val="20"/>
          <w:lang w:eastAsia="ar-SA" w:bidi="hi-IN"/>
        </w:rPr>
        <w:t xml:space="preserve"> El trámite de pago seguirá lo estipulado en las cláusulas respectivas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2.1.10. Administrador del Contrato.-</w:t>
      </w:r>
      <w:r>
        <w:rPr>
          <w:rFonts w:ascii="Arial" w:hAnsi="Arial" w:eastAsia="Calibri" w:cs="Arial"/>
          <w:szCs w:val="20"/>
          <w:lang w:eastAsia="ar-SA" w:bidi="hi-IN"/>
        </w:rPr>
        <w:t xml:space="preserve"> El administrador del contrato es el supervisor designado por la máxima autoridad de la Entidad Contratante, o su delegado, responsable de la coordinación y seguimiento de las actividades de construcción y de las acciones del fiscalizador.</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 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El/la administrador/a del contrato tendrá la potestad de dirimir en el caso de existir diferencias de carácter técnico o económico entre el contratista y la fiscalización  respecto de la ejecución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Respecto de su gestión reportará a la máxima autoridad institucional o ante la autoridad prevista en el contrato, debiendo comunicar todos los aspectos operativos, técnicos, económicos y de cualquier naturaleza que pudieren afectar al cumplimiento del objeto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2.1.11 Fiscalizador del Contrato.-</w:t>
      </w:r>
      <w:r>
        <w:rPr>
          <w:rFonts w:ascii="Arial" w:hAnsi="Arial" w:eastAsia="Calibri" w:cs="Arial"/>
          <w:szCs w:val="20"/>
          <w:lang w:eastAsia="ar-SA" w:bidi="hi-IN"/>
        </w:rPr>
        <w:t xml:space="preserve"> El/la fiscalizador/a del contrato será la persona con quien la CONTRATISTA, deberá canalizar y coordinar todas y cada una de las obligaciones contractuales convenidas, así como a los integrantes de la Comisión para la recepción provisional, parcial, total y definitiva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El/la Fiscalizador/a del Contrato, está autorizado/a para realizar las gestiones inherentes a su ejecución, incluyendo aquello que se relaciona con el trámite de pedidos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El/la Fiscalizador/a será el/la encargado/a de velar por el cabal y oportuno cumplimiento de las normas legales y de todas y cada una de las obligaciones y compromisos contractuales asumidos por parte de la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presentará los informes que le requiera el administrador del contrato o las autoridades respectivas. </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2.2 DE LOS CONTRATOS COMPLEMENTARIOS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 xml:space="preserve"> Obras y servicios complementarios.- </w:t>
      </w:r>
      <w:r>
        <w:rPr>
          <w:rFonts w:ascii="Arial" w:hAnsi="Arial" w:eastAsia="Arial Unicode MS" w:cs="Arial"/>
          <w:kern w:val="3"/>
          <w:szCs w:val="20"/>
          <w:lang w:val="es-ES" w:eastAsia="zh-CN" w:bidi="hi-IN"/>
        </w:rPr>
        <w:t>En el caso de que fuere necesario ampliar, modificar o complementar una obra por causas imprevistas o técnicas, debidamente motivadas, presentadas con su ejecución, el GAD Municipal del cantón Cuenca podrá celebrar con el mismo contratista,  contratos complementarios que requiera la atención de las modificaciones antedichas, siempre que se mantengan los precios de los rubros del contrato original, reajustados a la fecha de celebración del respectivo contrato complementario.</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Creación de rubros nuevos.-</w:t>
      </w:r>
      <w:r>
        <w:rPr>
          <w:rFonts w:ascii="Arial" w:hAnsi="Arial" w:eastAsia="Arial Unicode MS" w:cs="Arial"/>
          <w:kern w:val="3"/>
          <w:szCs w:val="20"/>
          <w:lang w:val="es-ES" w:eastAsia="zh-CN" w:bidi="hi-IN"/>
        </w:rPr>
        <w:t xml:space="preserve"> Si para la adecuada ejecución de una obra o prestación de un servicio, por motivos técnicos, fuere necesaria la creación de nuevos rubros, podrá celebrarse contratos complementarios.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Para el pago de los rubros nuevos se estará a los precios referenciales actualizados del GAD Municipal del cantón Cuenca, si los tuviere; en caso contrario, se los determinará de mutuo acuerdo entre las partes.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Normas comunes a los contratos complementarios.-</w:t>
      </w:r>
      <w:r>
        <w:rPr>
          <w:rFonts w:ascii="Arial" w:hAnsi="Arial" w:eastAsia="Arial Unicode MS" w:cs="Arial"/>
          <w:kern w:val="3"/>
          <w:szCs w:val="20"/>
          <w:lang w:val="es-ES" w:eastAsia="zh-CN" w:bidi="hi-IN"/>
        </w:rPr>
        <w:t xml:space="preserve"> La suma total de las cuantías de los </w:t>
      </w:r>
      <w:r>
        <w:rPr>
          <w:rFonts w:ascii="Arial" w:hAnsi="Arial" w:eastAsia="Arial Unicode MS" w:cs="Arial"/>
          <w:iCs/>
          <w:kern w:val="3"/>
          <w:szCs w:val="20"/>
          <w:lang w:val="es-ES" w:eastAsia="zh-CN" w:bidi="hi-IN"/>
        </w:rPr>
        <w:t>contratos complementarios no podrá exceder del ocho por ciento (8%) del valor del contrato principal</w:t>
      </w:r>
      <w:r>
        <w:rPr>
          <w:rFonts w:ascii="Arial" w:hAnsi="Arial" w:eastAsia="Arial Unicode MS" w:cs="Arial"/>
          <w:i/>
          <w:iCs/>
          <w:kern w:val="3"/>
          <w:szCs w:val="20"/>
          <w:lang w:val="es-ES" w:eastAsia="zh-CN" w:bidi="hi-IN"/>
        </w:rPr>
        <w:t>.</w:t>
      </w:r>
    </w:p>
    <w:p>
      <w:pPr>
        <w:widowControl w:val="0"/>
        <w:tabs>
          <w:tab w:val="left" w:pos="525"/>
        </w:tabs>
        <w:suppressAutoHyphens/>
        <w:autoSpaceDN w:val="0"/>
        <w:spacing w:before="120" w:after="0" w:line="240" w:lineRule="auto"/>
        <w:ind w:left="-13"/>
        <w:jc w:val="both"/>
        <w:textAlignment w:val="baseline"/>
        <w:rPr>
          <w:rFonts w:ascii="Arial" w:hAnsi="Arial" w:eastAsia="Arial Unicode MS" w:cs="Arial"/>
          <w:kern w:val="3"/>
          <w:szCs w:val="20"/>
          <w:lang w:val="es-ES" w:eastAsia="zh-CN" w:bidi="hi-IN"/>
        </w:rPr>
      </w:pPr>
      <w:r>
        <w:rPr>
          <w:rFonts w:ascii="Arial" w:hAnsi="Arial" w:eastAsia="Arial Unicode MS" w:cs="Arial"/>
          <w:iCs/>
          <w:kern w:val="3"/>
          <w:szCs w:val="20"/>
          <w:lang w:val="es-ES" w:eastAsia="zh-CN" w:bidi="hi-IN"/>
        </w:rPr>
        <w:t>La suma total de los contratos complementarios, órdenes de trabajo y diferencia en cantidades de obra, en ningún caso excederá del quince por ciento (15%) del valor del contrato principal.</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El contratista deberá rendir garantías adicionales.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En los contratos complementarios constarán la correspondiente fórmula o fórmulas de reajuste de precios, de ser el caso.</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En los contratos complementarios se podrá contemplar el pago de anticipos en la misma proporción prevista en el contrato original.</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En todos los casos, en forma previa a la suscripción de los contratos complementarios, se requerirá la verificación presupuestaria correspondiente, la misma deberá estar ENMARCADAS BAJO FINANCIAMIENTO DE LA CAF, y deberá contar con la debida certificación de disponibilidad de fondos.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Diferencia en cantidades de obra.</w:t>
      </w:r>
      <w:r>
        <w:rPr>
          <w:rFonts w:ascii="Arial" w:hAnsi="Arial" w:eastAsia="Arial Unicode MS" w:cs="Arial"/>
          <w:kern w:val="3"/>
          <w:szCs w:val="20"/>
          <w:lang w:val="es-ES" w:eastAsia="zh-CN" w:bidi="hi-IN"/>
        </w:rPr>
        <w:t xml:space="preserve">- Si al ejecpublutarse la obra de acuerdo con los planos y especificaciones del contrato se establecieren diferencias entre las cantidades reales y las que constan en el cuadro de cantidades estimadas en el contrato, la entidad podrá ordenar y pagar directamente sin necesidad de contrato complementario, hasta el cinco (5%) por ciento del valor del contrato, siempre que no se modifique el objeto contractual. A este efecto, bastará dejar constancia del cambio en un documento suscrito por las partes.  </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Ordenes de trabajo.-</w:t>
      </w:r>
      <w:r>
        <w:rPr>
          <w:rFonts w:ascii="Arial" w:hAnsi="Arial" w:eastAsia="Arial Unicode MS" w:cs="Arial"/>
          <w:kern w:val="3"/>
          <w:szCs w:val="20"/>
          <w:lang w:val="es-ES" w:eastAsia="zh-CN" w:bidi="hi-IN"/>
        </w:rPr>
        <w:t xml:space="preserve"> El GAD Municipal del cantón Cuenca podrá disponer, durante la ejecución de la obra, hasta del dos por ciento (2%) del valor del contrato principal, para la realización de rubros nuevos, mediante órdenes de trabajo y empleando la modalidad de costo más porcentaje. En todo caso, los recursos deberán estar enmarcadas BAJO FINANCIAMIENTO DE LA CAF, y deberá contar con la debida certificación de disponibilidad de fondos.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Las órdenes de trabajo contendrán las firmas de las partes y de la fiscalización.</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Certificación de recursos.-</w:t>
      </w:r>
      <w:r>
        <w:rPr>
          <w:rFonts w:ascii="Arial" w:hAnsi="Arial" w:eastAsia="Arial Unicode MS" w:cs="Arial"/>
          <w:kern w:val="3"/>
          <w:szCs w:val="20"/>
          <w:lang w:val="es-ES" w:eastAsia="zh-CN" w:bidi="hi-IN"/>
        </w:rPr>
        <w:t xml:space="preserve"> Para todos aquellos casos en que la Entidad Contratante decida contraer obligaciones de erogación de recursos por efecto de contratos complementarios, obras adicionales u órdenes de trabajo, de manera previa a su autorización deberá contarse con la respectiva certificación de existencia de recursos para satisfacer tales obligaciones y deberán estar enmarcadas BAJO FINANCIAMIENTO DE LA CAF.</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2.3 DE LA TERMINACIÓN DE LOS CONTRATOS</w:t>
      </w:r>
    </w:p>
    <w:p>
      <w:pPr>
        <w:suppressAutoHyphens/>
        <w:spacing w:after="0" w:line="240" w:lineRule="auto"/>
        <w:jc w:val="both"/>
        <w:rPr>
          <w:rFonts w:ascii="Arial" w:hAnsi="Arial" w:eastAsia="Calibri" w:cs="Arial"/>
          <w:b/>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Terminación de los contratos.-</w:t>
      </w:r>
      <w:r>
        <w:rPr>
          <w:rFonts w:ascii="Arial" w:hAnsi="Arial" w:eastAsia="Calibri" w:cs="Arial"/>
          <w:szCs w:val="20"/>
          <w:lang w:eastAsia="ar-SA" w:bidi="hi-IN"/>
        </w:rPr>
        <w:t xml:space="preserve"> Los contratos terminan:</w:t>
      </w:r>
    </w:p>
    <w:p>
      <w:pPr>
        <w:suppressAutoHyphens/>
        <w:spacing w:after="0" w:line="240" w:lineRule="auto"/>
        <w:jc w:val="both"/>
        <w:rPr>
          <w:rFonts w:ascii="Arial" w:hAnsi="Arial" w:eastAsia="Calibri" w:cs="Arial"/>
          <w:szCs w:val="20"/>
          <w:lang w:eastAsia="ar-SA" w:bidi="hi-IN"/>
        </w:rPr>
      </w:pP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cumplimiento de las obligaciones contractuales;</w:t>
      </w: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mutuo acuerdo de las partes;</w:t>
      </w: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declaración unilateral del contratante, en caso de incumplimiento del contratista; y,</w:t>
      </w: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muerte del contratista.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Terminación por mutuo acuerdo.-</w:t>
      </w:r>
      <w:r>
        <w:rPr>
          <w:rFonts w:ascii="Arial" w:hAnsi="Arial" w:eastAsia="Calibri" w:cs="Arial"/>
          <w:szCs w:val="20"/>
          <w:lang w:eastAsia="ar-SA" w:bidi="hi-IN"/>
        </w:rPr>
        <w:t xml:space="preserve"> 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 terminación por mutuo acuerdo no implicará renuncia a derechos causados o adquiridos en favor de la Entidad Contratante o del contratista.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Terminación unilateral del contrato.-</w:t>
      </w:r>
      <w:r>
        <w:rPr>
          <w:rFonts w:ascii="Arial" w:hAnsi="Arial" w:eastAsia="Calibri" w:cs="Arial"/>
          <w:szCs w:val="20"/>
          <w:lang w:eastAsia="ar-SA" w:bidi="hi-IN"/>
        </w:rPr>
        <w:t xml:space="preserve"> El GAD Municipal del Cantón Cuenca podrá declarar terminada anticipada y unilateralmente los contratos, en los siguientes casos:</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incumplimiento del contratista;</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quiebra o insolvencia del contratista;</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Si el valor de las multas supera el monto de la garantía de fiel cumplimiento del contrato;</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suspensión de los trabajos, por decisión del contratista, por más de sesenta (60) días, sin que medie fuerza mayor o caso fortuito;</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haberse celebrado contratos contra expresa prohibición del REGLAMENTO DE ADJUDICACION DE OBRAS Y FISCALIZACION CON RECURSOS CAF PARA EL PROGRAMA BARRIO PARA MEJOR VIVIR FASE II;</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En los demás casos estipulados en el contrato, de acuerdo con su naturaleza; y,</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GAD Municipal del Cantón Cuenca también podrá declarar terminado anticipada y unilateralmente el contrato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pPr>
        <w:spacing w:after="0" w:line="240" w:lineRule="auto"/>
        <w:jc w:val="center"/>
        <w:rPr>
          <w:rFonts w:ascii="Arial" w:hAnsi="Arial" w:eastAsia="Times New Roman" w:cs="Arial"/>
          <w:b/>
          <w:bCs/>
          <w:sz w:val="20"/>
          <w:lang w:bidi="hi-IN"/>
        </w:rPr>
      </w:pPr>
      <w:r>
        <w:rPr>
          <w:rFonts w:ascii="Arial" w:hAnsi="Arial" w:eastAsia="Times New Roman" w:cs="Arial"/>
          <w:sz w:val="20"/>
          <w:lang w:bidi="hi-IN"/>
        </w:rPr>
        <w:br w:type="page"/>
      </w:r>
      <w:r>
        <w:rPr>
          <w:rFonts w:ascii="Arial" w:hAnsi="Arial" w:eastAsia="Times New Roman" w:cs="Arial"/>
          <w:b/>
          <w:bCs/>
          <w:sz w:val="20"/>
          <w:lang w:bidi="hi-IN"/>
        </w:rPr>
        <w:t>PARTE III.  FORMULARIOS DE LICITACIÓN PÚBLICA DE OBRAS</w:t>
      </w:r>
    </w:p>
    <w:p>
      <w:pPr>
        <w:suppressAutoHyphens/>
        <w:spacing w:after="0" w:line="240" w:lineRule="auto"/>
        <w:jc w:val="center"/>
        <w:rPr>
          <w:rFonts w:ascii="Arial" w:hAnsi="Arial" w:eastAsia="Times New Roman" w:cs="Arial"/>
          <w:sz w:val="20"/>
          <w:lang w:eastAsia="hi-IN" w:bidi="hi-IN"/>
        </w:rPr>
      </w:pPr>
    </w:p>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INDICE</w:t>
      </w:r>
    </w:p>
    <w:p>
      <w:pPr>
        <w:suppressAutoHyphens/>
        <w:spacing w:after="0" w:line="240" w:lineRule="auto"/>
        <w:jc w:val="center"/>
        <w:rPr>
          <w:rFonts w:ascii="Arial" w:hAnsi="Arial" w:eastAsia="Times New Roman" w:cs="Arial"/>
          <w:sz w:val="20"/>
          <w:lang w:eastAsia="hi-IN" w:bidi="hi-IN"/>
        </w:rPr>
      </w:pPr>
    </w:p>
    <w:tbl>
      <w:tblPr>
        <w:tblStyle w:val="4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rPr>
                <w:rFonts w:ascii="Arial" w:hAnsi="Arial" w:eastAsia="Times New Roman" w:cs="Arial"/>
                <w:b/>
                <w:sz w:val="20"/>
                <w:lang w:eastAsia="hi-IN" w:bidi="hi-IN"/>
              </w:rPr>
            </w:pPr>
          </w:p>
          <w:p>
            <w:pPr>
              <w:suppressAutoHyphens/>
              <w:spacing w:after="0" w:line="240" w:lineRule="auto"/>
              <w:rPr>
                <w:rFonts w:ascii="Arial" w:hAnsi="Arial" w:eastAsia="Times New Roman" w:cs="Arial"/>
                <w:sz w:val="20"/>
                <w:lang w:eastAsia="hi-IN" w:bidi="hi-IN"/>
              </w:rPr>
            </w:pPr>
            <w:r>
              <w:rPr>
                <w:rFonts w:ascii="Arial" w:hAnsi="Arial" w:eastAsia="Times New Roman" w:cs="Arial"/>
                <w:b/>
                <w:sz w:val="20"/>
                <w:lang w:eastAsia="hi-IN" w:bidi="hi-IN"/>
              </w:rPr>
              <w:t>SECCIÓN I</w:t>
            </w:r>
          </w:p>
        </w:tc>
        <w:tc>
          <w:tcPr>
            <w:tcW w:w="7513" w:type="dxa"/>
            <w:shd w:val="clear" w:color="auto" w:fill="auto"/>
          </w:tcPr>
          <w:p>
            <w:pPr>
              <w:suppressAutoHyphens/>
              <w:spacing w:after="0" w:line="240" w:lineRule="auto"/>
              <w:rPr>
                <w:rFonts w:ascii="Arial" w:hAnsi="Arial" w:eastAsia="Times New Roman" w:cs="Arial"/>
                <w:b/>
                <w:sz w:val="20"/>
                <w:lang w:eastAsia="hi-IN" w:bidi="hi-IN"/>
              </w:rPr>
            </w:pPr>
          </w:p>
          <w:p>
            <w:pPr>
              <w:suppressAutoHyphens/>
              <w:spacing w:after="0" w:line="240" w:lineRule="auto"/>
              <w:rPr>
                <w:rFonts w:ascii="Arial" w:hAnsi="Arial" w:eastAsia="Times New Roman" w:cs="Arial"/>
                <w:b/>
                <w:bCs/>
                <w:sz w:val="20"/>
                <w:lang w:bidi="hi-IN"/>
              </w:rPr>
            </w:pPr>
            <w:r>
              <w:rPr>
                <w:rFonts w:ascii="Arial" w:hAnsi="Arial" w:eastAsia="Times New Roman" w:cs="Arial"/>
                <w:b/>
                <w:bCs/>
                <w:sz w:val="20"/>
                <w:lang w:bidi="hi-IN"/>
              </w:rPr>
              <w:t>FORMULARIO DE LA OFERTA</w:t>
            </w:r>
          </w:p>
          <w:p>
            <w:pPr>
              <w:suppressAutoHyphens/>
              <w:spacing w:after="0" w:line="240" w:lineRule="auto"/>
              <w:rPr>
                <w:rFonts w:ascii="Arial" w:hAnsi="Arial" w:eastAsia="Times New Roman" w:cs="Arial"/>
                <w:b/>
                <w:bCs/>
                <w:sz w:val="20"/>
                <w:lang w:bidi="hi-IN"/>
              </w:rPr>
            </w:pP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1.1</w:t>
            </w:r>
            <w:r>
              <w:rPr>
                <w:rFonts w:ascii="Arial" w:hAnsi="Arial" w:eastAsia="Times New Roman" w:cs="Arial"/>
                <w:sz w:val="20"/>
                <w:lang w:eastAsia="hi-IN" w:bidi="hi-IN"/>
              </w:rPr>
              <w:tab/>
            </w:r>
            <w:r>
              <w:rPr>
                <w:rFonts w:ascii="Arial" w:hAnsi="Arial" w:eastAsia="Times New Roman" w:cs="Arial"/>
                <w:sz w:val="20"/>
                <w:lang w:eastAsia="hi-IN" w:bidi="hi-IN"/>
              </w:rPr>
              <w:t>Presentación y compromiso</w:t>
            </w:r>
          </w:p>
          <w:p>
            <w:pPr>
              <w:tabs>
                <w:tab w:val="left" w:pos="-540"/>
              </w:tabs>
              <w:suppressAutoHyphens/>
              <w:spacing w:after="0" w:line="240" w:lineRule="auto"/>
              <w:ind w:left="15" w:right="4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1.2</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Datos generales del oferente.</w:t>
            </w:r>
          </w:p>
          <w:p>
            <w:pPr>
              <w:tabs>
                <w:tab w:val="left" w:pos="-720"/>
              </w:tabs>
              <w:suppressAutoHyphens/>
              <w:spacing w:after="0" w:line="240" w:lineRule="auto"/>
              <w:ind w:left="709" w:right="-119" w:hanging="709"/>
              <w:rPr>
                <w:rFonts w:ascii="Arial" w:hAnsi="Arial" w:eastAsia="Times New Roman" w:cs="Arial"/>
                <w:spacing w:val="-3"/>
                <w:sz w:val="20"/>
                <w:lang w:eastAsia="hi-IN" w:bidi="hi-IN"/>
              </w:rPr>
            </w:pPr>
            <w:r>
              <w:rPr>
                <w:rFonts w:ascii="Arial" w:hAnsi="Arial" w:eastAsia="Times New Roman" w:cs="Arial"/>
                <w:sz w:val="20"/>
                <w:lang w:eastAsia="hi-IN" w:bidi="hi-IN"/>
              </w:rPr>
              <w:t>1.3</w:t>
            </w:r>
            <w:r>
              <w:rPr>
                <w:rFonts w:ascii="Arial" w:hAnsi="Arial" w:eastAsia="Times New Roman" w:cs="Arial"/>
                <w:sz w:val="20"/>
                <w:lang w:eastAsia="hi-IN" w:bidi="hi-IN"/>
              </w:rPr>
              <w:tab/>
            </w:r>
            <w:r>
              <w:rPr>
                <w:rFonts w:ascii="Arial" w:hAnsi="Arial" w:eastAsia="Times New Roman" w:cs="Arial"/>
                <w:sz w:val="20"/>
                <w:lang w:eastAsia="hi-IN" w:bidi="hi-IN"/>
              </w:rPr>
              <w:t>Nómina de socio</w:t>
            </w:r>
            <w:r>
              <w:rPr>
                <w:rFonts w:ascii="Arial" w:hAnsi="Arial" w:eastAsia="Times New Roman" w:cs="Arial"/>
                <w:spacing w:val="-3"/>
                <w:sz w:val="20"/>
                <w:lang w:eastAsia="hi-IN" w:bidi="hi-IN"/>
              </w:rPr>
              <w:t>(s), accionista(s) o partícipe(s) mayoritarios de personas jurídicas oferentes.</w:t>
            </w:r>
          </w:p>
          <w:p>
            <w:pPr>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1.4</w:t>
            </w:r>
            <w:r>
              <w:rPr>
                <w:rFonts w:ascii="Arial" w:hAnsi="Arial" w:eastAsia="Times New Roman" w:cs="Arial"/>
                <w:sz w:val="20"/>
                <w:lang w:eastAsia="hi-IN" w:bidi="hi-IN"/>
              </w:rPr>
              <w:tab/>
            </w:r>
            <w:r>
              <w:rPr>
                <w:rFonts w:ascii="Arial" w:hAnsi="Arial" w:eastAsia="Times New Roman" w:cs="Arial"/>
                <w:sz w:val="20"/>
                <w:lang w:eastAsia="hi-IN" w:bidi="hi-IN"/>
              </w:rPr>
              <w:t>Situación financiera</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1.5</w:t>
            </w:r>
            <w:r>
              <w:rPr>
                <w:rFonts w:ascii="Arial" w:hAnsi="Arial" w:eastAsia="Times New Roman" w:cs="Arial"/>
                <w:sz w:val="20"/>
                <w:lang w:eastAsia="hi-IN" w:bidi="hi-IN"/>
              </w:rPr>
              <w:tab/>
            </w:r>
            <w:r>
              <w:rPr>
                <w:rFonts w:ascii="Arial" w:hAnsi="Arial" w:eastAsia="Times New Roman" w:cs="Arial"/>
                <w:sz w:val="20"/>
                <w:lang w:eastAsia="hi-IN" w:bidi="hi-IN"/>
              </w:rPr>
              <w:t>Tabla de descripción de rubros, unidades, cantidades y precios</w:t>
            </w:r>
          </w:p>
          <w:p>
            <w:pPr>
              <w:suppressAutoHyphens/>
              <w:spacing w:after="0" w:line="240" w:lineRule="auto"/>
              <w:ind w:left="15" w:right="45"/>
              <w:rPr>
                <w:rFonts w:ascii="Arial" w:hAnsi="Arial" w:eastAsia="Times New Roman" w:cs="Arial"/>
                <w:spacing w:val="-2"/>
                <w:sz w:val="20"/>
                <w:lang w:eastAsia="hi-IN" w:bidi="hi-IN"/>
              </w:rPr>
            </w:pPr>
            <w:r>
              <w:rPr>
                <w:rFonts w:ascii="Arial" w:hAnsi="Arial" w:eastAsia="Times New Roman" w:cs="Arial"/>
                <w:spacing w:val="-2"/>
                <w:sz w:val="20"/>
                <w:lang w:eastAsia="hi-IN" w:bidi="hi-IN"/>
              </w:rPr>
              <w:t>1.6</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Análisis de precios unitarios</w:t>
            </w:r>
          </w:p>
          <w:p>
            <w:pPr>
              <w:keepNext/>
              <w:keepLines/>
              <w:tabs>
                <w:tab w:val="left" w:pos="0"/>
              </w:tabs>
              <w:suppressAutoHyphens/>
              <w:spacing w:after="0" w:line="240" w:lineRule="auto"/>
              <w:ind w:left="15" w:right="45"/>
              <w:outlineLvl w:val="0"/>
              <w:rPr>
                <w:rFonts w:ascii="Arial" w:hAnsi="Arial" w:eastAsia="Times New Roman" w:cs="Arial"/>
                <w:bCs/>
                <w:sz w:val="20"/>
                <w:lang w:eastAsia="hi-IN" w:bidi="hi-IN"/>
              </w:rPr>
            </w:pPr>
            <w:r>
              <w:rPr>
                <w:rFonts w:ascii="Arial" w:hAnsi="Arial" w:eastAsia="Times New Roman" w:cs="Arial"/>
                <w:bCs/>
                <w:sz w:val="20"/>
                <w:lang w:eastAsia="hi-IN" w:bidi="hi-IN"/>
              </w:rPr>
              <w:t>1.7</w:t>
            </w:r>
            <w:r>
              <w:rPr>
                <w:rFonts w:ascii="Arial" w:hAnsi="Arial" w:eastAsia="Times New Roman" w:cs="Arial"/>
                <w:bCs/>
                <w:sz w:val="20"/>
                <w:lang w:eastAsia="hi-IN" w:bidi="hi-IN"/>
              </w:rPr>
              <w:tab/>
            </w:r>
            <w:r>
              <w:rPr>
                <w:rFonts w:ascii="Arial" w:hAnsi="Arial" w:eastAsia="Times New Roman" w:cs="Arial"/>
                <w:bCs/>
                <w:sz w:val="20"/>
                <w:lang w:eastAsia="hi-IN" w:bidi="hi-IN"/>
              </w:rPr>
              <w:t>Metodología de construcción</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1.8</w:t>
            </w:r>
            <w:r>
              <w:rPr>
                <w:rFonts w:ascii="Arial" w:hAnsi="Arial" w:eastAsia="Times New Roman" w:cs="Arial"/>
                <w:sz w:val="20"/>
                <w:lang w:eastAsia="hi-IN" w:bidi="hi-IN"/>
              </w:rPr>
              <w:tab/>
            </w:r>
            <w:r>
              <w:rPr>
                <w:rFonts w:ascii="Arial" w:hAnsi="Arial" w:eastAsia="Times New Roman" w:cs="Arial"/>
                <w:sz w:val="20"/>
                <w:lang w:eastAsia="hi-IN" w:bidi="hi-IN"/>
              </w:rPr>
              <w:t>Cronograma valorado de trabajos</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1.9</w:t>
            </w:r>
            <w:r>
              <w:rPr>
                <w:rFonts w:ascii="Arial" w:hAnsi="Arial" w:eastAsia="Times New Roman" w:cs="Arial"/>
                <w:sz w:val="20"/>
                <w:lang w:eastAsia="hi-IN" w:bidi="hi-IN"/>
              </w:rPr>
              <w:tab/>
            </w:r>
            <w:r>
              <w:rPr>
                <w:rFonts w:ascii="Arial" w:hAnsi="Arial" w:eastAsia="Times New Roman" w:cs="Arial"/>
                <w:sz w:val="20"/>
                <w:lang w:eastAsia="hi-IN" w:bidi="hi-IN"/>
              </w:rPr>
              <w:t>Experiencia del oferente</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1.10</w:t>
            </w:r>
            <w:r>
              <w:rPr>
                <w:rFonts w:ascii="Arial" w:hAnsi="Arial" w:eastAsia="Times New Roman" w:cs="Arial"/>
                <w:sz w:val="20"/>
                <w:lang w:eastAsia="hi-IN" w:bidi="hi-IN"/>
              </w:rPr>
              <w:tab/>
            </w:r>
            <w:r>
              <w:rPr>
                <w:rFonts w:ascii="Arial" w:hAnsi="Arial" w:eastAsia="Times New Roman" w:cs="Arial"/>
                <w:sz w:val="20"/>
                <w:lang w:eastAsia="hi-IN" w:bidi="hi-IN"/>
              </w:rPr>
              <w:t>Personal técnico propuesto para el proyecto</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1.11</w:t>
            </w:r>
            <w:r>
              <w:rPr>
                <w:rFonts w:ascii="Arial" w:hAnsi="Arial" w:eastAsia="Times New Roman" w:cs="Arial"/>
                <w:sz w:val="20"/>
                <w:lang w:eastAsia="hi-IN" w:bidi="hi-IN"/>
              </w:rPr>
              <w:tab/>
            </w:r>
            <w:r>
              <w:rPr>
                <w:rFonts w:ascii="Arial" w:hAnsi="Arial" w:eastAsia="Times New Roman" w:cs="Arial"/>
                <w:sz w:val="20"/>
                <w:lang w:eastAsia="hi-IN" w:bidi="hi-IN"/>
              </w:rPr>
              <w:t>Equipo asignado al proyecto</w:t>
            </w:r>
          </w:p>
          <w:p>
            <w:pPr>
              <w:widowControl w:val="0"/>
              <w:suppressAutoHyphens/>
              <w:spacing w:after="0" w:line="240" w:lineRule="auto"/>
              <w:ind w:left="742" w:right="45" w:hanging="708"/>
              <w:rPr>
                <w:rFonts w:ascii="Arial" w:hAnsi="Arial" w:eastAsia="Times New Roman" w:cs="Arial"/>
                <w:spacing w:val="-2"/>
                <w:sz w:val="20"/>
                <w:lang w:val="es-ES" w:eastAsia="hi-IN" w:bidi="hi-IN"/>
              </w:rPr>
            </w:pPr>
            <w:r>
              <w:rPr>
                <w:rFonts w:ascii="Arial" w:hAnsi="Arial" w:eastAsia="Times New Roman" w:cs="Arial"/>
                <w:spacing w:val="-2"/>
                <w:sz w:val="20"/>
                <w:lang w:val="es-ES" w:eastAsia="hi-IN" w:bidi="hi-IN"/>
              </w:rPr>
              <w:t>1.12</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Participación ecuatoriana para el proyecto, propuesta por el oferente</w:t>
            </w:r>
          </w:p>
          <w:p>
            <w:pPr>
              <w:suppressAutoHyphens/>
              <w:spacing w:after="0" w:line="240" w:lineRule="auto"/>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jc w:val="center"/>
              <w:rPr>
                <w:rFonts w:ascii="Arial" w:hAnsi="Arial" w:eastAsia="Times New Roman" w:cs="Arial"/>
                <w:sz w:val="20"/>
                <w:lang w:eastAsia="hi-IN" w:bidi="hi-IN"/>
              </w:rPr>
            </w:pPr>
          </w:p>
          <w:p>
            <w:pPr>
              <w:suppressAutoHyphens/>
              <w:spacing w:after="0" w:line="240" w:lineRule="auto"/>
              <w:rPr>
                <w:rFonts w:ascii="Arial" w:hAnsi="Arial" w:eastAsia="Times New Roman" w:cs="Arial"/>
                <w:b/>
                <w:sz w:val="20"/>
                <w:lang w:eastAsia="hi-IN" w:bidi="hi-IN"/>
              </w:rPr>
            </w:pPr>
            <w:r>
              <w:rPr>
                <w:rFonts w:ascii="Arial" w:hAnsi="Arial" w:eastAsia="Times New Roman" w:cs="Arial"/>
                <w:b/>
                <w:sz w:val="20"/>
                <w:lang w:eastAsia="hi-IN" w:bidi="hi-IN"/>
              </w:rPr>
              <w:t>SECCIÓN II</w:t>
            </w:r>
            <w:r>
              <w:rPr>
                <w:rFonts w:ascii="Arial" w:hAnsi="Arial" w:eastAsia="Times New Roman" w:cs="Arial"/>
                <w:b/>
                <w:sz w:val="20"/>
                <w:lang w:eastAsia="hi-IN" w:bidi="hi-IN"/>
              </w:rPr>
              <w:tab/>
            </w:r>
          </w:p>
          <w:p>
            <w:pPr>
              <w:suppressAutoHyphens/>
              <w:spacing w:after="0" w:line="240" w:lineRule="auto"/>
              <w:rPr>
                <w:rFonts w:ascii="Arial" w:hAnsi="Arial" w:eastAsia="Times New Roman" w:cs="Arial"/>
                <w:sz w:val="20"/>
                <w:lang w:eastAsia="hi-IN" w:bidi="hi-IN"/>
              </w:rPr>
            </w:pPr>
          </w:p>
        </w:tc>
        <w:tc>
          <w:tcPr>
            <w:tcW w:w="7513" w:type="dxa"/>
            <w:shd w:val="clear" w:color="auto" w:fill="auto"/>
          </w:tcPr>
          <w:p>
            <w:pPr>
              <w:suppressAutoHyphens/>
              <w:spacing w:after="0" w:line="240" w:lineRule="auto"/>
              <w:rPr>
                <w:rFonts w:ascii="Arial" w:hAnsi="Arial" w:eastAsia="Times New Roman" w:cs="Arial"/>
                <w:b/>
                <w:bCs/>
                <w:sz w:val="20"/>
                <w:lang w:bidi="hi-IN"/>
              </w:rPr>
            </w:pPr>
          </w:p>
          <w:p>
            <w:pPr>
              <w:suppressAutoHyphens/>
              <w:spacing w:after="0" w:line="240" w:lineRule="auto"/>
              <w:rPr>
                <w:rFonts w:ascii="Arial" w:hAnsi="Arial" w:eastAsia="Times New Roman" w:cs="Arial"/>
                <w:sz w:val="20"/>
                <w:lang w:eastAsia="hi-IN" w:bidi="hi-IN"/>
              </w:rPr>
            </w:pPr>
            <w:r>
              <w:rPr>
                <w:rFonts w:ascii="Arial" w:hAnsi="Arial" w:eastAsia="Times New Roman" w:cs="Arial"/>
                <w:b/>
                <w:bCs/>
                <w:sz w:val="20"/>
                <w:lang w:bidi="hi-IN"/>
              </w:rPr>
              <w:t>FORMULARIO DE COMPROMISO DE PARTICIPACIÓN DEL PERSONAL TÉCNICO Y HOJA DE VIDA</w:t>
            </w:r>
          </w:p>
          <w:p>
            <w:pPr>
              <w:suppressAutoHyphens/>
              <w:spacing w:after="0" w:line="240" w:lineRule="auto"/>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jc w:val="center"/>
              <w:rPr>
                <w:rFonts w:ascii="Arial" w:hAnsi="Arial" w:eastAsia="Times New Roman" w:cs="Arial"/>
                <w:b/>
                <w:sz w:val="20"/>
                <w:lang w:eastAsia="hi-IN" w:bidi="hi-IN"/>
              </w:rPr>
            </w:pPr>
          </w:p>
          <w:p>
            <w:pPr>
              <w:suppressAutoHyphens/>
              <w:spacing w:after="0" w:line="240" w:lineRule="auto"/>
              <w:rPr>
                <w:rFonts w:ascii="Arial" w:hAnsi="Arial" w:eastAsia="Times New Roman" w:cs="Arial"/>
                <w:b/>
                <w:sz w:val="20"/>
                <w:lang w:eastAsia="hi-IN" w:bidi="hi-IN"/>
              </w:rPr>
            </w:pPr>
            <w:r>
              <w:rPr>
                <w:rFonts w:ascii="Arial" w:hAnsi="Arial" w:eastAsia="Times New Roman" w:cs="Arial"/>
                <w:b/>
                <w:sz w:val="20"/>
                <w:lang w:eastAsia="hi-IN" w:bidi="hi-IN"/>
              </w:rPr>
              <w:t>SECCIÓN III</w:t>
            </w:r>
          </w:p>
          <w:p>
            <w:pPr>
              <w:suppressAutoHyphens/>
              <w:spacing w:after="0" w:line="240" w:lineRule="auto"/>
              <w:jc w:val="center"/>
              <w:rPr>
                <w:rFonts w:ascii="Arial" w:hAnsi="Arial" w:eastAsia="Times New Roman" w:cs="Arial"/>
                <w:b/>
                <w:sz w:val="20"/>
                <w:lang w:eastAsia="hi-IN" w:bidi="hi-IN"/>
              </w:rPr>
            </w:pPr>
          </w:p>
        </w:tc>
        <w:tc>
          <w:tcPr>
            <w:tcW w:w="7513" w:type="dxa"/>
            <w:shd w:val="clear" w:color="auto" w:fill="auto"/>
          </w:tcPr>
          <w:p>
            <w:pPr>
              <w:suppressAutoHyphens/>
              <w:spacing w:after="0" w:line="240" w:lineRule="auto"/>
              <w:rPr>
                <w:rFonts w:ascii="Arial" w:hAnsi="Arial" w:eastAsia="Times New Roman" w:cs="Arial"/>
                <w:b/>
                <w:bCs/>
                <w:sz w:val="20"/>
                <w:lang w:bidi="hi-IN"/>
              </w:rPr>
            </w:pPr>
          </w:p>
          <w:p>
            <w:pPr>
              <w:suppressAutoHyphens/>
              <w:spacing w:after="0" w:line="240" w:lineRule="auto"/>
              <w:rPr>
                <w:rFonts w:ascii="Arial" w:hAnsi="Arial" w:eastAsia="Times New Roman" w:cs="Arial"/>
                <w:b/>
                <w:bCs/>
                <w:sz w:val="20"/>
                <w:lang w:bidi="hi-IN"/>
              </w:rPr>
            </w:pPr>
            <w:r>
              <w:rPr>
                <w:rFonts w:ascii="Arial" w:hAnsi="Arial" w:eastAsia="Times New Roman" w:cs="Arial"/>
                <w:b/>
                <w:bCs/>
                <w:sz w:val="20"/>
                <w:lang w:bidi="hi-IN"/>
              </w:rPr>
              <w:t>FORMULARIO DE COMPROMISO DE ASOCIACIÓN O CONSORCIO</w:t>
            </w:r>
          </w:p>
          <w:p>
            <w:pPr>
              <w:suppressAutoHyphens/>
              <w:spacing w:after="0" w:line="240" w:lineRule="auto"/>
              <w:rPr>
                <w:rFonts w:ascii="Arial" w:hAnsi="Arial" w:eastAsia="Times New Roman" w:cs="Arial"/>
                <w:b/>
                <w:bCs/>
                <w:sz w:val="20"/>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jc w:val="center"/>
              <w:rPr>
                <w:rFonts w:ascii="Arial" w:hAnsi="Arial" w:eastAsia="Times New Roman" w:cs="Arial"/>
                <w:b/>
                <w:sz w:val="20"/>
                <w:lang w:eastAsia="hi-IN" w:bidi="hi-IN"/>
              </w:rPr>
            </w:pPr>
          </w:p>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 xml:space="preserve">SECCIÓN IV </w:t>
            </w:r>
          </w:p>
        </w:tc>
        <w:tc>
          <w:tcPr>
            <w:tcW w:w="7513" w:type="dxa"/>
            <w:shd w:val="clear" w:color="auto" w:fill="auto"/>
          </w:tcPr>
          <w:p>
            <w:pPr>
              <w:suppressAutoHyphens/>
              <w:spacing w:after="0" w:line="240" w:lineRule="auto"/>
              <w:rPr>
                <w:rFonts w:ascii="Arial" w:hAnsi="Arial" w:eastAsia="Times New Roman" w:cs="Arial"/>
                <w:b/>
                <w:bCs/>
                <w:sz w:val="20"/>
                <w:lang w:bidi="hi-IN"/>
              </w:rPr>
            </w:pPr>
          </w:p>
          <w:p>
            <w:pPr>
              <w:suppressAutoHyphens/>
              <w:spacing w:after="0" w:line="240" w:lineRule="auto"/>
              <w:rPr>
                <w:rFonts w:ascii="Arial" w:hAnsi="Arial" w:eastAsia="Times New Roman" w:cs="Arial"/>
                <w:b/>
                <w:bCs/>
                <w:sz w:val="20"/>
                <w:lang w:bidi="hi-IN"/>
              </w:rPr>
            </w:pPr>
            <w:r>
              <w:rPr>
                <w:rFonts w:ascii="Arial" w:hAnsi="Arial" w:eastAsia="Times New Roman" w:cs="Arial"/>
                <w:b/>
                <w:bCs/>
                <w:sz w:val="20"/>
                <w:lang w:bidi="hi-IN"/>
              </w:rPr>
              <w:t>FORMULARIO DE COMPROMISO DE SUBCONTRATACIÓN</w:t>
            </w:r>
          </w:p>
          <w:p>
            <w:pPr>
              <w:suppressAutoHyphens/>
              <w:spacing w:after="0" w:line="240" w:lineRule="auto"/>
              <w:rPr>
                <w:rFonts w:ascii="Arial" w:hAnsi="Arial" w:eastAsia="Times New Roman" w:cs="Arial"/>
                <w:b/>
                <w:bCs/>
                <w:sz w:val="20"/>
                <w:lang w:bidi="hi-IN"/>
              </w:rPr>
            </w:pPr>
          </w:p>
        </w:tc>
      </w:tr>
    </w:tbl>
    <w:p>
      <w:pPr>
        <w:suppressAutoHyphens/>
        <w:spacing w:after="0" w:line="240" w:lineRule="auto"/>
        <w:rPr>
          <w:rFonts w:ascii="Arial" w:hAnsi="Arial" w:eastAsia="Times New Roman" w:cs="Arial"/>
          <w:sz w:val="20"/>
          <w:lang w:eastAsia="hi-IN" w:bidi="hi-IN"/>
        </w:rPr>
      </w:pPr>
    </w:p>
    <w:p>
      <w:pPr>
        <w:tabs>
          <w:tab w:val="left" w:pos="-540"/>
        </w:tabs>
        <w:suppressAutoHyphens/>
        <w:spacing w:after="0" w:line="240" w:lineRule="auto"/>
        <w:ind w:left="15" w:right="45"/>
        <w:jc w:val="center"/>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rPr>
          <w:rFonts w:ascii="Arial" w:hAnsi="Arial" w:eastAsia="Times New Roman" w:cs="Arial"/>
          <w:spacing w:val="-3"/>
          <w:sz w:val="20"/>
          <w:szCs w:val="20"/>
          <w:lang w:eastAsia="hi-IN" w:bidi="hi-IN"/>
        </w:rPr>
      </w:pPr>
    </w:p>
    <w:p>
      <w:pPr>
        <w:rPr>
          <w:rFonts w:ascii="Times New Roman" w:hAnsi="Times New Roman" w:eastAsia="Times New Roman" w:cs="Times New Roman"/>
          <w:b/>
          <w:bCs/>
          <w:sz w:val="20"/>
          <w:szCs w:val="20"/>
          <w:lang w:eastAsia="hi-IN" w:bidi="hi-IN"/>
        </w:rPr>
      </w:pPr>
    </w:p>
    <w:p>
      <w:pPr>
        <w:rPr>
          <w:rFonts w:ascii="Times New Roman" w:hAnsi="Times New Roman" w:eastAsia="Times New Roman" w:cs="Times New Roman"/>
          <w:b/>
          <w:bCs/>
          <w:sz w:val="20"/>
          <w:szCs w:val="20"/>
          <w:lang w:eastAsia="hi-IN" w:bidi="hi-IN"/>
        </w:rPr>
      </w:pPr>
    </w:p>
    <w:p>
      <w:pPr>
        <w:spacing w:after="0" w:line="240" w:lineRule="auto"/>
        <w:rPr>
          <w:rFonts w:ascii="Times New Roman" w:hAnsi="Times New Roman" w:eastAsia="Times New Roman" w:cs="Times New Roman"/>
          <w:b/>
          <w:bCs/>
          <w:sz w:val="20"/>
          <w:szCs w:val="20"/>
          <w:lang w:eastAsia="hi-IN" w:bidi="hi-IN"/>
        </w:rPr>
      </w:pPr>
      <w:r>
        <w:rPr>
          <w:rFonts w:ascii="Times New Roman" w:hAnsi="Times New Roman" w:eastAsia="Times New Roman" w:cs="Times New Roman"/>
          <w:b/>
          <w:bCs/>
          <w:sz w:val="20"/>
          <w:szCs w:val="20"/>
          <w:lang w:eastAsia="hi-IN" w:bidi="hi-IN"/>
        </w:rPr>
        <w:br w:type="page"/>
      </w:r>
    </w:p>
    <w:p>
      <w:pPr>
        <w:pBdr>
          <w:top w:val="single" w:color="auto" w:sz="4" w:space="1"/>
          <w:left w:val="single" w:color="auto" w:sz="4" w:space="4"/>
          <w:bottom w:val="single" w:color="auto" w:sz="4" w:space="1"/>
          <w:right w:val="single" w:color="auto" w:sz="4" w:space="4"/>
        </w:pBdr>
        <w:shd w:val="clear" w:color="auto" w:fill="F2F2F2"/>
        <w:tabs>
          <w:tab w:val="left" w:pos="-540"/>
        </w:tabs>
        <w:suppressAutoHyphens/>
        <w:spacing w:after="0" w:line="240" w:lineRule="auto"/>
        <w:ind w:left="15" w:right="45"/>
        <w:jc w:val="center"/>
        <w:rPr>
          <w:rFonts w:ascii="Arial" w:hAnsi="Arial" w:eastAsia="Times New Roman" w:cs="Arial"/>
          <w:b/>
          <w:bCs/>
          <w:sz w:val="20"/>
          <w:szCs w:val="20"/>
          <w:lang w:bidi="hi-IN"/>
        </w:rPr>
      </w:pPr>
    </w:p>
    <w:p>
      <w:pPr>
        <w:pBdr>
          <w:top w:val="single" w:color="auto" w:sz="4" w:space="1"/>
          <w:left w:val="single" w:color="auto" w:sz="4" w:space="4"/>
          <w:bottom w:val="single" w:color="auto" w:sz="4" w:space="1"/>
          <w:right w:val="single" w:color="auto" w:sz="4" w:space="4"/>
        </w:pBdr>
        <w:shd w:val="clear" w:color="auto" w:fill="F2F2F2"/>
        <w:tabs>
          <w:tab w:val="left" w:pos="-540"/>
        </w:tabs>
        <w:suppressAutoHyphens/>
        <w:spacing w:after="0" w:line="240" w:lineRule="auto"/>
        <w:ind w:left="15" w:right="45"/>
        <w:jc w:val="center"/>
        <w:rPr>
          <w:rFonts w:ascii="Arial" w:hAnsi="Arial" w:eastAsia="Times New Roman" w:cs="Arial"/>
          <w:b/>
          <w:bCs/>
          <w:sz w:val="20"/>
          <w:szCs w:val="20"/>
          <w:lang w:bidi="hi-IN"/>
        </w:rPr>
      </w:pPr>
      <w:r>
        <w:rPr>
          <w:rFonts w:ascii="Arial" w:hAnsi="Arial" w:eastAsia="Times New Roman" w:cs="Arial"/>
          <w:b/>
          <w:bCs/>
          <w:sz w:val="20"/>
          <w:szCs w:val="20"/>
          <w:lang w:bidi="hi-IN"/>
        </w:rPr>
        <w:t>I.  FORMULARIO DE OFERTA</w:t>
      </w:r>
    </w:p>
    <w:p>
      <w:pPr>
        <w:pBdr>
          <w:top w:val="single" w:color="auto" w:sz="4" w:space="1"/>
          <w:left w:val="single" w:color="auto" w:sz="4" w:space="4"/>
          <w:bottom w:val="single" w:color="auto" w:sz="4" w:space="1"/>
          <w:right w:val="single" w:color="auto" w:sz="4" w:space="4"/>
        </w:pBdr>
        <w:shd w:val="clear" w:color="auto" w:fill="F2F2F2"/>
        <w:tabs>
          <w:tab w:val="left" w:pos="-540"/>
        </w:tabs>
        <w:suppressAutoHyphens/>
        <w:spacing w:after="0" w:line="240" w:lineRule="auto"/>
        <w:ind w:left="15" w:right="45"/>
        <w:jc w:val="center"/>
        <w:rPr>
          <w:rFonts w:ascii="Arial" w:hAnsi="Arial" w:eastAsia="Times New Roman" w:cs="Arial"/>
          <w:b/>
          <w:bCs/>
          <w:sz w:val="20"/>
          <w:szCs w:val="20"/>
          <w:lang w:bidi="hi-IN"/>
        </w:rPr>
      </w:pPr>
    </w:p>
    <w:p>
      <w:pPr>
        <w:tabs>
          <w:tab w:val="left" w:pos="-540"/>
        </w:tabs>
        <w:suppressAutoHyphens/>
        <w:spacing w:after="0" w:line="240" w:lineRule="auto"/>
        <w:ind w:right="45"/>
        <w:rPr>
          <w:rFonts w:ascii="Arial" w:hAnsi="Arial" w:eastAsia="Times New Roman" w:cs="Arial"/>
          <w:spacing w:val="-3"/>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r>
        <w:rPr>
          <w:rFonts w:ascii="Arial" w:hAnsi="Arial" w:eastAsia="Times New Roman" w:cs="Arial"/>
          <w:b/>
          <w:sz w:val="18"/>
          <w:lang w:eastAsia="hi-IN" w:bidi="hi-IN"/>
        </w:rPr>
        <w:t>NOMBRE DEL OFERENTE: ………………………………………………………..</w:t>
      </w:r>
    </w:p>
    <w:p>
      <w:pPr>
        <w:tabs>
          <w:tab w:val="left" w:pos="-540"/>
        </w:tabs>
        <w:suppressAutoHyphens/>
        <w:spacing w:after="0" w:line="240" w:lineRule="auto"/>
        <w:ind w:right="45"/>
        <w:rPr>
          <w:rFonts w:ascii="Arial" w:hAnsi="Arial" w:eastAsia="Times New Roman" w:cs="Arial"/>
          <w:spacing w:val="-3"/>
          <w:sz w:val="18"/>
          <w:lang w:eastAsia="hi-IN" w:bidi="hi-IN"/>
        </w:rPr>
      </w:pPr>
    </w:p>
    <w:p>
      <w:pPr>
        <w:tabs>
          <w:tab w:val="left" w:pos="-540"/>
        </w:tabs>
        <w:suppressAutoHyphens/>
        <w:spacing w:after="0" w:line="240" w:lineRule="auto"/>
        <w:ind w:right="45"/>
        <w:rPr>
          <w:rFonts w:ascii="Arial" w:hAnsi="Arial" w:eastAsia="Times New Roman" w:cs="Arial"/>
          <w:vanish/>
          <w:spacing w:val="-3"/>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z w:val="18"/>
          <w:lang w:eastAsia="hi-IN" w:bidi="hi-IN"/>
        </w:rPr>
      </w:pPr>
      <w:r>
        <w:rPr>
          <w:rFonts w:ascii="Arial" w:hAnsi="Arial" w:eastAsia="Times New Roman" w:cs="Arial"/>
          <w:b/>
          <w:sz w:val="18"/>
          <w:lang w:eastAsia="hi-IN" w:bidi="hi-IN"/>
        </w:rPr>
        <w:t>1.1</w:t>
      </w:r>
      <w:r>
        <w:rPr>
          <w:rFonts w:ascii="Arial" w:hAnsi="Arial" w:eastAsia="Times New Roman" w:cs="Arial"/>
          <w:b/>
          <w:sz w:val="18"/>
          <w:lang w:eastAsia="hi-IN" w:bidi="hi-IN"/>
        </w:rPr>
        <w:tab/>
      </w:r>
      <w:r>
        <w:rPr>
          <w:rFonts w:ascii="Arial" w:hAnsi="Arial" w:eastAsia="Times New Roman" w:cs="Arial"/>
          <w:b/>
          <w:sz w:val="18"/>
          <w:lang w:eastAsia="hi-IN" w:bidi="hi-IN"/>
        </w:rPr>
        <w:t>PRESENTACIÓN Y COMPROMISO</w:t>
      </w:r>
    </w:p>
    <w:p>
      <w:pPr>
        <w:suppressAutoHyphens/>
        <w:spacing w:after="0" w:line="240" w:lineRule="auto"/>
        <w:ind w:left="15" w:right="45"/>
        <w:jc w:val="both"/>
        <w:rPr>
          <w:rFonts w:ascii="Arial" w:hAnsi="Arial" w:eastAsia="Times New Roman" w:cs="Arial"/>
          <w:spacing w:val="-2"/>
          <w:sz w:val="18"/>
          <w:lang w:eastAsia="hi-IN" w:bidi="hi-IN"/>
        </w:rPr>
      </w:pPr>
    </w:p>
    <w:p>
      <w:pPr>
        <w:autoSpaceDE w:val="0"/>
        <w:autoSpaceDN w:val="0"/>
        <w:adjustRightInd w:val="0"/>
        <w:spacing w:after="0" w:line="240" w:lineRule="auto"/>
        <w:jc w:val="both"/>
        <w:rPr>
          <w:rFonts w:ascii="Arial" w:hAnsi="Arial" w:eastAsia="Times New Roman" w:cs="Arial"/>
          <w:sz w:val="18"/>
          <w:lang w:eastAsia="hi-IN" w:bidi="hi-IN"/>
        </w:rPr>
      </w:pPr>
      <w:r>
        <w:rPr>
          <w:rFonts w:ascii="Arial" w:hAnsi="Arial" w:eastAsia="Times New Roman" w:cs="Arial"/>
          <w:sz w:val="18"/>
          <w:lang w:eastAsia="hi-IN" w:bidi="hi-IN"/>
        </w:rPr>
        <w:t xml:space="preserve">El que suscribe, en atención a la convocatoria efectuada por el GAD MUNICIPAL DEL CANTON CUENCA para la ejecución de </w:t>
      </w:r>
      <w:r>
        <w:rPr>
          <w:rFonts w:ascii="Arial" w:hAnsi="Arial" w:eastAsia="Times New Roman" w:cs="Arial"/>
          <w:b/>
          <w:sz w:val="18"/>
          <w:lang w:bidi="hi-IN"/>
        </w:rPr>
        <w:t>de OBRAS HIDROSANITARIAS, CANALIZACIÓN TELEFÓNICA, CANALIZACIÓN ELÉCTRICA, MUROS, VEREDAS, BORDILLOS, PAVIMENTACIÓN FLEXIBLE, SEÑALIZACIÓN, MITIGACIÓN DE IMPACTOS AMBIENTALES, MUROS DE CONTENCION, SUBDREN Y SEGURIDAD VIAL DE LA CALLE DE LAS AREPAS ENTRE SIN NOMBRE Y SIN NOMBRE; 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r>
        <w:rPr>
          <w:rFonts w:ascii="Arial" w:hAnsi="Arial" w:eastAsia="Times New Roman" w:cs="Arial"/>
          <w:i/>
          <w:sz w:val="18"/>
          <w:lang w:eastAsia="hi-IN" w:bidi="hi-IN"/>
        </w:rPr>
        <w:t>,</w:t>
      </w:r>
      <w:r>
        <w:rPr>
          <w:rFonts w:ascii="Arial" w:hAnsi="Arial" w:eastAsia="Times New Roman" w:cs="Arial"/>
          <w:sz w:val="18"/>
          <w:lang w:eastAsia="hi-IN" w:bidi="hi-IN"/>
        </w:rPr>
        <w:t xml:space="preserve"> luego de examinar el pliego del presente procedimiento de ejecución de obras, al presentar esta oferta por (</w:t>
      </w:r>
      <w:r>
        <w:rPr>
          <w:rFonts w:ascii="Arial" w:hAnsi="Arial" w:eastAsia="Times New Roman" w:cs="Arial"/>
          <w:i/>
          <w:sz w:val="18"/>
          <w:lang w:eastAsia="hi-IN" w:bidi="hi-IN"/>
        </w:rPr>
        <w:t>sus propios derechos, si es persona natural) / (representante legal o apoderado de .......................... si es persona jurídica), (procurador común de……………………, si se trata de asociación o consorcio</w:t>
      </w:r>
      <w:r>
        <w:rPr>
          <w:rFonts w:ascii="Arial" w:hAnsi="Arial" w:eastAsia="Times New Roman" w:cs="Arial"/>
          <w:sz w:val="18"/>
          <w:lang w:eastAsia="hi-IN" w:bidi="hi-IN"/>
        </w:rPr>
        <w:t>) declara que:</w:t>
      </w:r>
    </w:p>
    <w:p>
      <w:pPr>
        <w:autoSpaceDE w:val="0"/>
        <w:autoSpaceDN w:val="0"/>
        <w:adjustRightInd w:val="0"/>
        <w:spacing w:after="0" w:line="240" w:lineRule="auto"/>
        <w:jc w:val="both"/>
        <w:rPr>
          <w:rFonts w:ascii="Arial" w:hAnsi="Arial" w:eastAsia="Times New Roman" w:cs="Arial"/>
          <w:sz w:val="18"/>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r>
        <w:rPr>
          <w:rFonts w:ascii="Arial Narrow" w:hAnsi="Arial Narrow" w:eastAsia="Times New Roman" w:cs="Arial"/>
          <w:lang w:eastAsia="hi-IN" w:bidi="hi-IN"/>
        </w:rPr>
        <w:t>El oferente es proveedor elegible de conformidad con las disposiciones del Contrato de Préstamo, las políticas emitidas por CAF, el Reglamento, la Ley Orgánica del Sistema Nacional de Contratación Pública, LOSNCP, y su Reglamento.</w:t>
      </w:r>
    </w:p>
    <w:p>
      <w:p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La única persona o personas interesadas en esta oferta está o están nombradas en ella, sin que incurra en actos de ocultamiento o simulación con el fin de que no aparezcan sujetos inhabilitados para contratar con el Estado.</w:t>
      </w:r>
    </w:p>
    <w:p>
      <w:p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Pr>
          <w:rFonts w:ascii="Arial Narrow" w:hAnsi="Arial Narrow" w:eastAsia="Times New Roman" w:cs="Arial"/>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pPr>
        <w:suppressAutoHyphens/>
        <w:spacing w:after="0" w:line="240" w:lineRule="auto"/>
        <w:jc w:val="both"/>
        <w:rPr>
          <w:rFonts w:ascii="Arial Narrow" w:hAnsi="Arial Narrow" w:eastAsia="Times New Roman" w:cs="Arial"/>
          <w:spacing w:val="-2"/>
          <w:highlight w:val="cyan"/>
          <w:u w:val="single"/>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 </w:t>
      </w:r>
    </w:p>
    <w:p>
      <w:p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p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val="es-ES" w:eastAsia="hi-IN" w:bidi="hi-IN"/>
        </w:rPr>
      </w:pPr>
      <w:r>
        <w:rPr>
          <w:rFonts w:ascii="Arial Narrow" w:hAnsi="Arial Narrow" w:eastAsia="Times New Roman" w:cs="Arial"/>
          <w:spacing w:val="-2"/>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p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p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Renuncia a cualquier reclamo posterior, aduciendo desconocimiento de los particulares de este proceso y de las obras específicas a ser adjudicadas.</w:t>
      </w:r>
    </w:p>
    <w:p>
      <w:p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p>
    <w:p>
      <w:pPr>
        <w:pStyle w:val="57"/>
        <w:numPr>
          <w:ilvl w:val="0"/>
          <w:numId w:val="15"/>
        </w:numPr>
        <w:rPr>
          <w:rFonts w:ascii="Arial Narrow" w:hAnsi="Arial Narrow" w:cs="Arial"/>
          <w:spacing w:val="-2"/>
          <w:sz w:val="22"/>
          <w:szCs w:val="22"/>
        </w:rPr>
      </w:pPr>
      <w:r>
        <w:rPr>
          <w:rFonts w:ascii="Arial Narrow" w:hAnsi="Arial Narrow"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pPr>
        <w:suppressAutoHyphens/>
        <w:spacing w:after="0" w:line="240" w:lineRule="auto"/>
        <w:ind w:left="720"/>
        <w:rPr>
          <w:rFonts w:ascii="Arial Narrow" w:hAnsi="Arial Narrow" w:eastAsia="Times New Roman" w:cs="Arial"/>
          <w:spacing w:val="-2"/>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r>
        <w:rPr>
          <w:rFonts w:ascii="Arial Narrow" w:hAnsi="Arial Narrow" w:eastAsia="Times New Roman" w:cs="Arial"/>
          <w:spacing w:val="-2"/>
          <w:lang w:eastAsia="hi-IN" w:bidi="hi-IN"/>
        </w:rPr>
        <w:t xml:space="preserve"> De resultar adjudicatario, manifiesta que suscribirá el contrato comprometiéndose a ejecutar la obra sobre la base de los estudios con los que cuente la Entidad Contratante y en tal virtud, no podrá aducir error, falencia o cualquier inconformidad de dichos estudios, como causal para solicitar ampliación del plazo, contratación de rubros nuevos o contratos complementarios. </w:t>
      </w:r>
    </w:p>
    <w:p>
      <w:p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p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Se somete a las consideraciones que exige el Contrato de Préstamo con CAF, el Reglamento y demás disposiciones aplicables de la LOSNCP, de su Reglamento General, de las resoluciones del SERCOP.</w:t>
      </w:r>
    </w:p>
    <w:p>
      <w:pPr>
        <w:suppressAutoHyphens/>
        <w:spacing w:after="0" w:line="240" w:lineRule="auto"/>
        <w:ind w:left="720"/>
        <w:rPr>
          <w:rFonts w:ascii="Arial Narrow" w:hAnsi="Arial Narrow" w:eastAsia="Times New Roman" w:cs="Arial"/>
          <w:spacing w:val="-2"/>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Garantiza la veracidad y exactitud de la información y documentación entregada a la Entidad Contratante. Acepta que, en caso de que se comprobare administrativamente por parte de las entidades contratantes que el oferente o contratista hubiere alterado o faltado a la verdad sobre la documentación o información entregada,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pPr>
        <w:suppressAutoHyphens/>
        <w:spacing w:after="0" w:line="240" w:lineRule="auto"/>
        <w:ind w:left="720"/>
        <w:rPr>
          <w:rFonts w:ascii="Arial Narrow" w:hAnsi="Arial Narrow" w:eastAsia="Times New Roman" w:cs="Arial"/>
          <w:spacing w:val="-2"/>
          <w:lang w:eastAsia="hi-IN" w:bidi="hi-IN"/>
        </w:rPr>
      </w:pPr>
    </w:p>
    <w:p>
      <w:pPr>
        <w:numPr>
          <w:ilvl w:val="0"/>
          <w:numId w:val="15"/>
        </w:numPr>
        <w:tabs>
          <w:tab w:val="left" w:pos="-709"/>
          <w:tab w:val="left" w:pos="709"/>
          <w:tab w:val="left" w:pos="2205"/>
          <w:tab w:val="left" w:pos="3929"/>
          <w:tab w:val="clear" w:pos="720"/>
        </w:tabs>
        <w:suppressAutoHyphens/>
        <w:spacing w:after="0" w:line="240" w:lineRule="auto"/>
        <w:ind w:left="709" w:hanging="425"/>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pPr>
        <w:tabs>
          <w:tab w:val="left" w:pos="-709"/>
          <w:tab w:val="left" w:pos="709"/>
        </w:tabs>
        <w:suppressAutoHyphens/>
        <w:spacing w:after="0" w:line="240" w:lineRule="auto"/>
        <w:ind w:left="709" w:hanging="425"/>
        <w:jc w:val="both"/>
        <w:rPr>
          <w:rFonts w:ascii="Arial Narrow" w:hAnsi="Arial Narrow" w:eastAsia="Times New Roman" w:cs="Arial"/>
          <w:spacing w:val="-2"/>
          <w:lang w:eastAsia="hi-IN" w:bidi="hi-IN"/>
        </w:rPr>
      </w:pPr>
    </w:p>
    <w:p>
      <w:pPr>
        <w:numPr>
          <w:ilvl w:val="0"/>
          <w:numId w:val="15"/>
        </w:numPr>
        <w:suppressAutoHyphens/>
        <w:spacing w:after="0" w:line="240" w:lineRule="auto"/>
        <w:jc w:val="both"/>
        <w:rPr>
          <w:rFonts w:ascii="Arial Narrow" w:hAnsi="Arial Narrow" w:eastAsia="Times New Roman" w:cs="Arial"/>
          <w:lang w:val="es-MX" w:eastAsia="hi-IN" w:bidi="hi-IN"/>
        </w:rPr>
      </w:pPr>
      <w:r>
        <w:rPr>
          <w:rFonts w:ascii="Arial Narrow" w:hAnsi="Arial Narrow" w:eastAsia="Times New Roman" w:cs="Arial"/>
          <w:lang w:val="es-MX" w:eastAsia="hi-IN" w:bidi="hi-IN"/>
        </w:rPr>
        <w:t xml:space="preserve"> En caso de que resuelva subcontratar la ejecución de parte de la obra que se le adjudicare, subcontratará  hasta el 30% del valor de la oferta la ejecución de los rubros determinados en ella. </w:t>
      </w:r>
    </w:p>
    <w:p>
      <w:pPr>
        <w:suppressAutoHyphens/>
        <w:spacing w:after="0" w:line="240" w:lineRule="auto"/>
        <w:ind w:left="720"/>
        <w:jc w:val="both"/>
        <w:rPr>
          <w:rFonts w:ascii="Arial Narrow" w:hAnsi="Arial Narrow" w:eastAsia="Times New Roman" w:cs="Arial"/>
          <w:lang w:val="es-MX"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r>
        <w:rPr>
          <w:rFonts w:ascii="Arial Narrow" w:hAnsi="Arial Narrow" w:eastAsia="Times New Roman" w:cs="Arial"/>
          <w:spacing w:val="-2"/>
          <w:lang w:eastAsia="hi-IN" w:bidi="hi-IN"/>
        </w:rPr>
        <w:t xml:space="preserve">Bajo juramento, que no está incurso en las inhabilidades generales y especiales para contratar establecidas en los artículos 62 y 63 de la </w:t>
      </w:r>
      <w:r>
        <w:rPr>
          <w:rFonts w:ascii="Arial Narrow" w:hAnsi="Arial Narrow" w:eastAsia="Times New Roman" w:cs="Arial"/>
          <w:lang w:eastAsia="hi-IN" w:bidi="hi-IN"/>
        </w:rPr>
        <w:t>LOSNCP y de los artículos 110 y 111 de su Reglamento General, en el Reglamento y demás normativa aplicable.</w:t>
      </w:r>
    </w:p>
    <w:p>
      <w:pPr>
        <w:tabs>
          <w:tab w:val="left" w:pos="0"/>
          <w:tab w:val="left" w:pos="2205"/>
          <w:tab w:val="left" w:pos="3929"/>
        </w:tabs>
        <w:suppressAutoHyphens/>
        <w:spacing w:after="0" w:line="240" w:lineRule="auto"/>
        <w:jc w:val="both"/>
        <w:rPr>
          <w:rFonts w:ascii="Arial Narrow" w:hAnsi="Arial Narrow"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En caso de que sea adjudicatario, conviene en:</w:t>
      </w:r>
    </w:p>
    <w:p>
      <w:pPr>
        <w:suppressAutoHyphens/>
        <w:spacing w:after="0" w:line="240" w:lineRule="auto"/>
        <w:ind w:left="15" w:right="45"/>
        <w:rPr>
          <w:rFonts w:ascii="Arial Narrow" w:hAnsi="Arial Narrow" w:eastAsia="Times New Roman" w:cs="Arial"/>
          <w:lang w:eastAsia="hi-IN" w:bidi="hi-IN"/>
        </w:rPr>
      </w:pPr>
    </w:p>
    <w:p>
      <w:pPr>
        <w:numPr>
          <w:ilvl w:val="0"/>
          <w:numId w:val="16"/>
        </w:numPr>
        <w:tabs>
          <w:tab w:val="left" w:pos="1418"/>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Firmar el contrato dentro del término de 15 días desde la notificación con la resolución de adjudicación. Como requisito indispensable previo a la suscripción del contrato presentará las garantías correspondientes. (</w:t>
      </w:r>
      <w:r>
        <w:rPr>
          <w:rFonts w:ascii="Arial Narrow" w:hAnsi="Arial Narrow" w:eastAsia="Times New Roman" w:cs="Arial"/>
          <w:i/>
          <w:spacing w:val="-2"/>
          <w:lang w:eastAsia="hi-IN" w:bidi="hi-IN"/>
        </w:rPr>
        <w:t>Para el caso de Consorcio se tendrá un término no mayor de treinta días</w:t>
      </w:r>
      <w:r>
        <w:rPr>
          <w:rFonts w:ascii="Arial Narrow" w:hAnsi="Arial Narrow" w:eastAsia="Times New Roman" w:cs="Arial"/>
          <w:spacing w:val="-2"/>
          <w:lang w:eastAsia="hi-IN" w:bidi="hi-IN"/>
        </w:rPr>
        <w:t>)</w:t>
      </w:r>
    </w:p>
    <w:p>
      <w:pPr>
        <w:tabs>
          <w:tab w:val="left" w:pos="0"/>
          <w:tab w:val="left" w:pos="1418"/>
        </w:tabs>
        <w:suppressAutoHyphens/>
        <w:spacing w:after="0" w:line="240" w:lineRule="auto"/>
        <w:ind w:left="720"/>
        <w:jc w:val="both"/>
        <w:rPr>
          <w:rFonts w:ascii="Arial Narrow" w:hAnsi="Arial Narrow" w:eastAsia="Times New Roman" w:cs="Arial"/>
          <w:lang w:eastAsia="hi-IN" w:bidi="hi-IN"/>
        </w:rPr>
      </w:pPr>
    </w:p>
    <w:p>
      <w:pPr>
        <w:numPr>
          <w:ilvl w:val="0"/>
          <w:numId w:val="16"/>
        </w:numPr>
        <w:tabs>
          <w:tab w:val="left" w:pos="1418"/>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Aceptar que, en caso de negarse a suscribir, sin justificación adecuada, el respectivo contrato dentro del término señalado, se aplicará la sanción indicada en los artículos 35 y 69 de la LOSNCP.</w:t>
      </w:r>
    </w:p>
    <w:p>
      <w:pPr>
        <w:tabs>
          <w:tab w:val="left" w:pos="0"/>
          <w:tab w:val="left" w:pos="1418"/>
        </w:tabs>
        <w:suppressAutoHyphens/>
        <w:spacing w:after="0" w:line="240" w:lineRule="auto"/>
        <w:ind w:left="720"/>
        <w:jc w:val="both"/>
        <w:rPr>
          <w:rFonts w:ascii="Arial Narrow" w:hAnsi="Arial Narrow" w:eastAsia="Times New Roman" w:cs="Arial"/>
          <w:lang w:eastAsia="hi-IN" w:bidi="hi-IN"/>
        </w:rPr>
      </w:pPr>
    </w:p>
    <w:p>
      <w:pPr>
        <w:numPr>
          <w:ilvl w:val="0"/>
          <w:numId w:val="16"/>
        </w:numPr>
        <w:tabs>
          <w:tab w:val="left" w:pos="1418"/>
        </w:tabs>
        <w:suppressAutoHyphens/>
        <w:spacing w:after="0" w:line="240" w:lineRule="auto"/>
        <w:jc w:val="both"/>
        <w:rPr>
          <w:rFonts w:ascii="Arial Narrow" w:hAnsi="Arial Narrow" w:eastAsia="Times New Roman" w:cs="Arial"/>
          <w:spacing w:val="-2"/>
          <w:lang w:eastAsia="hi-IN" w:bidi="hi-IN"/>
        </w:rPr>
      </w:pPr>
      <w:r>
        <w:rPr>
          <w:rFonts w:ascii="Arial Narrow" w:hAnsi="Arial Narrow" w:eastAsia="Times New Roman" w:cs="Arial"/>
          <w:spacing w:val="-2"/>
          <w:lang w:eastAsia="hi-IN" w:bidi="hi-IN"/>
        </w:rPr>
        <w:t>Garantizar todo el trabajo que efectuará de conformidad con los documentos del contrato</w:t>
      </w:r>
      <w:r>
        <w:rPr>
          <w:rFonts w:ascii="Arial Narrow" w:hAnsi="Arial Narrow" w:eastAsia="Times New Roman" w:cs="Arial"/>
          <w:i/>
          <w:spacing w:val="-2"/>
          <w:lang w:eastAsia="hi-IN" w:bidi="hi-IN"/>
        </w:rPr>
        <w:t xml:space="preserve">, </w:t>
      </w:r>
      <w:r>
        <w:rPr>
          <w:rFonts w:ascii="Arial Narrow" w:hAnsi="Arial Narrow" w:eastAsia="Times New Roman" w:cs="Arial"/>
          <w:spacing w:val="-2"/>
          <w:lang w:eastAsia="hi-IN" w:bidi="hi-IN"/>
        </w:rPr>
        <w:t>y mantener o reparar la obra hasta su recepción definitiva.</w:t>
      </w:r>
    </w:p>
    <w:p>
      <w:pPr>
        <w:autoSpaceDE w:val="0"/>
        <w:autoSpaceDN w:val="0"/>
        <w:adjustRightInd w:val="0"/>
        <w:spacing w:after="0" w:line="240" w:lineRule="auto"/>
        <w:jc w:val="both"/>
        <w:rPr>
          <w:rFonts w:ascii="Arial" w:hAnsi="Arial" w:eastAsia="Times New Roman" w:cs="Arial"/>
          <w:sz w:val="20"/>
          <w:lang w:eastAsia="hi-IN" w:bidi="hi-IN"/>
        </w:rPr>
      </w:pPr>
    </w:p>
    <w:p>
      <w:pPr>
        <w:spacing w:after="0" w:line="240" w:lineRule="auto"/>
        <w:rPr>
          <w:rFonts w:ascii="Arial" w:hAnsi="Arial" w:eastAsia="Times New Roman" w:cs="Arial"/>
          <w:b/>
          <w:spacing w:val="-2"/>
          <w:sz w:val="20"/>
          <w:lang w:eastAsia="hi-IN" w:bidi="hi-IN"/>
        </w:rPr>
      </w:pPr>
    </w:p>
    <w:p>
      <w:pPr>
        <w:spacing w:after="0" w:line="240" w:lineRule="auto"/>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1.2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DATOS GENERALES DEL OFERENTE.</w:t>
      </w:r>
    </w:p>
    <w:p>
      <w:pPr>
        <w:tabs>
          <w:tab w:val="left" w:pos="-540"/>
        </w:tabs>
        <w:suppressAutoHyphens/>
        <w:spacing w:after="0" w:line="240" w:lineRule="auto"/>
        <w:ind w:left="15" w:right="45"/>
        <w:jc w:val="both"/>
        <w:rPr>
          <w:rFonts w:ascii="Arial" w:hAnsi="Arial" w:eastAsia="Times New Roman" w:cs="Arial"/>
          <w:b/>
          <w:spacing w:val="-2"/>
          <w:sz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NOMBRE DEL OFERENTE: (</w:t>
      </w:r>
      <w:r>
        <w:rPr>
          <w:rFonts w:ascii="Arial" w:hAnsi="Arial" w:eastAsia="Times New Roman" w:cs="Arial"/>
          <w:i/>
          <w:spacing w:val="-2"/>
          <w:sz w:val="20"/>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Pr>
          <w:rFonts w:ascii="Arial" w:hAnsi="Arial" w:eastAsia="Times New Roman" w:cs="Arial"/>
          <w:spacing w:val="-2"/>
          <w:sz w:val="20"/>
          <w:lang w:eastAsia="hi-IN" w:bidi="hi-IN"/>
        </w:rPr>
        <w:t>).</w:t>
      </w:r>
    </w:p>
    <w:p>
      <w:pPr>
        <w:tabs>
          <w:tab w:val="left" w:pos="-540"/>
        </w:tabs>
        <w:suppressAutoHyphens/>
        <w:spacing w:after="0" w:line="240" w:lineRule="auto"/>
        <w:ind w:left="15" w:right="45"/>
        <w:jc w:val="both"/>
        <w:rPr>
          <w:rFonts w:ascii="Arial" w:hAnsi="Arial" w:eastAsia="Times New Roman" w:cs="Arial"/>
          <w:spacing w:val="-2"/>
          <w:sz w:val="20"/>
          <w:lang w:eastAsia="hi-IN" w:bidi="hi-IN"/>
        </w:rPr>
      </w:pPr>
    </w:p>
    <w:tbl>
      <w:tblPr>
        <w:tblStyle w:val="46"/>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2"/>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Ciudad:</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Calle (principal)</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No:</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Calle (intersección):</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Teléfono(s):</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Correo electrónico</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Cédula de Ciudadanía (Pasaporte):</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left="15"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R.U.C:</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bl>
    <w:p>
      <w:pPr>
        <w:spacing w:after="0" w:line="240" w:lineRule="auto"/>
        <w:jc w:val="both"/>
        <w:rPr>
          <w:rFonts w:ascii="Arial" w:hAnsi="Arial" w:eastAsia="Times New Roman" w:cs="Arial"/>
          <w:spacing w:val="-2"/>
          <w:sz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r>
        <w:rPr>
          <w:rFonts w:ascii="Arial" w:hAnsi="Arial" w:eastAsia="Times New Roman" w:cs="Arial"/>
          <w:b/>
          <w:bCs/>
          <w:spacing w:val="-2"/>
          <w:sz w:val="24"/>
          <w:szCs w:val="20"/>
          <w:lang w:eastAsia="hi-IN" w:bidi="hi-IN"/>
        </w:rPr>
        <w:t>-------------------------------------------------------</w:t>
      </w:r>
    </w:p>
    <w:p>
      <w:pPr>
        <w:shd w:val="clear" w:color="auto" w:fill="FFFFFF"/>
        <w:tabs>
          <w:tab w:val="left" w:pos="-720"/>
          <w:tab w:val="left" w:pos="2856"/>
          <w:tab w:val="left" w:pos="3094"/>
          <w:tab w:val="left" w:pos="3451"/>
          <w:tab w:val="left" w:pos="3689"/>
        </w:tabs>
        <w:suppressAutoHyphens/>
        <w:spacing w:after="0" w:line="240" w:lineRule="auto"/>
        <w:ind w:right="-119"/>
        <w:rPr>
          <w:rFonts w:ascii="Arial" w:hAnsi="Arial" w:eastAsia="Times New Roman" w:cs="Arial"/>
          <w:bCs/>
          <w:sz w:val="20"/>
          <w:szCs w:val="20"/>
          <w:lang w:eastAsia="hi-IN" w:bidi="hi-IN"/>
        </w:rPr>
      </w:pPr>
      <w:r>
        <w:rPr>
          <w:rFonts w:ascii="Arial" w:hAnsi="Arial" w:eastAsia="Times New Roman" w:cs="Arial"/>
          <w:bCs/>
          <w:sz w:val="20"/>
          <w:szCs w:val="20"/>
          <w:lang w:eastAsia="hi-IN" w:bidi="hi-IN"/>
        </w:rPr>
        <w:t>FIRMA DEL OFERENTE, SU REPRESENTANTE LEGAL O PROCURADOR COMÚN (según el caso)</w:t>
      </w:r>
    </w:p>
    <w:p>
      <w:pPr>
        <w:shd w:val="clear" w:color="auto" w:fill="FFFFFF"/>
        <w:tabs>
          <w:tab w:val="center" w:pos="2074"/>
        </w:tabs>
        <w:suppressAutoHyphens/>
        <w:spacing w:after="0" w:line="240" w:lineRule="auto"/>
        <w:ind w:left="15" w:right="45"/>
        <w:rPr>
          <w:rFonts w:ascii="Arial" w:hAnsi="Arial" w:eastAsia="Times New Roman" w:cs="Arial"/>
          <w:spacing w:val="-2"/>
          <w:lang w:eastAsia="hi-IN" w:bidi="hi-IN"/>
        </w:rPr>
      </w:pPr>
    </w:p>
    <w:p>
      <w:pPr>
        <w:shd w:val="clear" w:color="auto" w:fill="FFFFFF"/>
        <w:tabs>
          <w:tab w:val="center" w:pos="2074"/>
        </w:tabs>
        <w:suppressAutoHyphens/>
        <w:spacing w:after="0" w:line="240" w:lineRule="auto"/>
        <w:ind w:left="15" w:right="45"/>
        <w:rPr>
          <w:rFonts w:ascii="Arial" w:hAnsi="Arial" w:eastAsia="Times New Roman" w:cs="Arial"/>
          <w:spacing w:val="-2"/>
          <w:lang w:eastAsia="hi-IN" w:bidi="hi-IN"/>
        </w:rPr>
      </w:pPr>
      <w:r>
        <w:rPr>
          <w:rFonts w:ascii="Arial" w:hAnsi="Arial" w:eastAsia="Times New Roman" w:cs="Arial"/>
          <w:spacing w:val="-2"/>
          <w:lang w:eastAsia="hi-IN" w:bidi="hi-IN"/>
        </w:rPr>
        <w:t>Nota.- Este formulario no podrá ser modificado y en caso de hacerlo se desestimará al oferente.</w:t>
      </w:r>
    </w:p>
    <w:p>
      <w:pPr>
        <w:shd w:val="clear" w:color="auto" w:fill="FFFFFF"/>
        <w:tabs>
          <w:tab w:val="center" w:pos="2074"/>
        </w:tabs>
        <w:suppressAutoHyphens/>
        <w:spacing w:after="0" w:line="240" w:lineRule="auto"/>
        <w:ind w:left="15" w:right="45"/>
        <w:rPr>
          <w:rFonts w:ascii="Arial" w:hAnsi="Arial" w:eastAsia="Times New Roman" w:cs="Arial"/>
          <w:bCs/>
          <w:i/>
          <w:sz w:val="20"/>
          <w:lang w:val="es-ES" w:bidi="hi-IN"/>
        </w:rPr>
      </w:pPr>
      <w:r>
        <w:rPr>
          <w:rFonts w:ascii="Arial" w:hAnsi="Arial" w:eastAsia="Times New Roman" w:cs="Arial"/>
          <w:spacing w:val="-2"/>
          <w:sz w:val="24"/>
          <w:szCs w:val="20"/>
          <w:lang w:eastAsia="hi-IN" w:bidi="hi-IN"/>
        </w:rPr>
        <w:br w:type="page"/>
      </w:r>
    </w:p>
    <w:p>
      <w:pPr>
        <w:spacing w:after="0" w:line="240" w:lineRule="auto"/>
        <w:rPr>
          <w:rFonts w:ascii="Arial" w:hAnsi="Arial" w:eastAsia="Times New Roman" w:cs="Arial"/>
          <w:b/>
          <w:sz w:val="18"/>
          <w:lang w:eastAsia="hi-IN" w:bidi="hi-IN"/>
        </w:rPr>
      </w:pPr>
      <w:r>
        <w:rPr>
          <w:rFonts w:ascii="Arial" w:hAnsi="Arial" w:eastAsia="Times New Roman" w:cs="Arial"/>
          <w:b/>
          <w:sz w:val="18"/>
          <w:lang w:eastAsia="hi-IN" w:bidi="hi-IN"/>
        </w:rPr>
        <w:t>1.3</w:t>
      </w:r>
      <w:r>
        <w:rPr>
          <w:rFonts w:ascii="Arial" w:hAnsi="Arial" w:eastAsia="Times New Roman" w:cs="Arial"/>
          <w:b/>
          <w:sz w:val="18"/>
          <w:lang w:eastAsia="hi-IN" w:bidi="hi-IN"/>
        </w:rPr>
        <w:tab/>
      </w:r>
      <w:r>
        <w:rPr>
          <w:rFonts w:ascii="Arial" w:hAnsi="Arial" w:eastAsia="Times New Roman" w:cs="Arial"/>
          <w:b/>
          <w:sz w:val="18"/>
          <w:lang w:eastAsia="hi-IN" w:bidi="hi-IN"/>
        </w:rPr>
        <w:t>SITUACIÓN FINANCIERA</w:t>
      </w:r>
    </w:p>
    <w:p>
      <w:pPr>
        <w:tabs>
          <w:tab w:val="left" w:pos="-540"/>
        </w:tabs>
        <w:suppressAutoHyphens/>
        <w:spacing w:after="0" w:line="240" w:lineRule="auto"/>
        <w:ind w:left="15" w:right="45"/>
        <w:jc w:val="both"/>
        <w:rPr>
          <w:rFonts w:ascii="Arial" w:hAnsi="Arial" w:eastAsia="Times New Roman" w:cs="Arial"/>
          <w:sz w:val="18"/>
          <w:lang w:eastAsia="hi-IN" w:bidi="hi-IN"/>
        </w:rPr>
      </w:pPr>
    </w:p>
    <w:p>
      <w:pPr>
        <w:tabs>
          <w:tab w:val="left" w:pos="-540"/>
        </w:tabs>
        <w:suppressAutoHyphens/>
        <w:spacing w:after="0" w:line="240" w:lineRule="auto"/>
        <w:ind w:left="15" w:right="45"/>
        <w:jc w:val="both"/>
        <w:rPr>
          <w:rFonts w:ascii="Arial" w:hAnsi="Arial" w:eastAsia="Times New Roman" w:cs="Arial"/>
          <w:i/>
          <w:iCs/>
          <w:spacing w:val="-2"/>
          <w:sz w:val="18"/>
          <w:lang w:eastAsia="hi-IN" w:bidi="hi-IN"/>
        </w:rPr>
      </w:pPr>
      <w:r>
        <w:rPr>
          <w:rFonts w:ascii="Arial" w:hAnsi="Arial" w:eastAsia="Times New Roman" w:cs="Arial"/>
          <w:sz w:val="18"/>
          <w:lang w:eastAsia="hi-IN" w:bidi="hi-IN"/>
        </w:rPr>
        <w:t xml:space="preserve">La situación financiera del oferente se demostrará con la presentación del formulario de </w:t>
      </w:r>
      <w:r>
        <w:rPr>
          <w:rFonts w:ascii="Arial" w:hAnsi="Arial" w:eastAsia="Times New Roman" w:cs="Arial"/>
          <w:i/>
          <w:iCs/>
          <w:spacing w:val="-2"/>
          <w:sz w:val="18"/>
          <w:lang w:eastAsia="hi-IN" w:bidi="hi-IN"/>
        </w:rPr>
        <w:t>declaración de impuesto a la renta del ejercicio fiscal inmediato anterior que fue entregada al Servicio de Rentas Internas SRI.</w:t>
      </w:r>
    </w:p>
    <w:p>
      <w:pPr>
        <w:tabs>
          <w:tab w:val="center" w:pos="2164"/>
        </w:tabs>
        <w:suppressAutoHyphens/>
        <w:spacing w:after="0" w:line="240" w:lineRule="auto"/>
        <w:ind w:left="15" w:right="45"/>
        <w:jc w:val="both"/>
        <w:rPr>
          <w:rFonts w:ascii="Arial" w:hAnsi="Arial" w:eastAsia="Times New Roman" w:cs="Arial"/>
          <w:iCs/>
          <w:spacing w:val="-2"/>
          <w:sz w:val="18"/>
          <w:lang w:eastAsia="hi-IN" w:bidi="hi-IN"/>
        </w:rPr>
      </w:pPr>
    </w:p>
    <w:p>
      <w:pPr>
        <w:tabs>
          <w:tab w:val="center" w:pos="2164"/>
        </w:tabs>
        <w:suppressAutoHyphens/>
        <w:spacing w:after="0" w:line="240" w:lineRule="auto"/>
        <w:ind w:left="15" w:right="45"/>
        <w:jc w:val="both"/>
        <w:rPr>
          <w:rFonts w:ascii="Arial" w:hAnsi="Arial" w:eastAsia="Times New Roman" w:cs="Arial"/>
          <w:sz w:val="18"/>
          <w:lang w:eastAsia="hi-IN" w:bidi="hi-IN"/>
        </w:rPr>
      </w:pPr>
      <w:r>
        <w:rPr>
          <w:rFonts w:ascii="Arial" w:hAnsi="Arial" w:eastAsia="Times New Roman" w:cs="Arial"/>
          <w:sz w:val="18"/>
          <w:lang w:eastAsia="hi-IN" w:bidi="hi-IN"/>
        </w:rPr>
        <w:t>EL participante presentará la información requerida por la entidad para los índices financieros por ella solicitada, conforme el siguiente cuadro:</w:t>
      </w:r>
    </w:p>
    <w:p>
      <w:pPr>
        <w:tabs>
          <w:tab w:val="center" w:pos="2164"/>
        </w:tabs>
        <w:suppressAutoHyphens/>
        <w:spacing w:after="0" w:line="240" w:lineRule="auto"/>
        <w:ind w:left="15" w:right="45"/>
        <w:jc w:val="both"/>
        <w:rPr>
          <w:rFonts w:ascii="Arial" w:hAnsi="Arial" w:eastAsia="Times New Roman" w:cs="Arial"/>
          <w:sz w:val="18"/>
          <w:lang w:eastAsia="hi-IN" w:bidi="hi-IN"/>
        </w:rPr>
      </w:pPr>
    </w:p>
    <w:p>
      <w:pPr>
        <w:tabs>
          <w:tab w:val="center" w:pos="2164"/>
        </w:tabs>
        <w:suppressAutoHyphens/>
        <w:spacing w:after="0" w:line="240" w:lineRule="auto"/>
        <w:ind w:left="15" w:right="45"/>
        <w:jc w:val="both"/>
        <w:rPr>
          <w:rFonts w:ascii="Arial" w:hAnsi="Arial" w:eastAsia="Times New Roman" w:cs="Arial"/>
          <w:sz w:val="18"/>
          <w:lang w:eastAsia="hi-IN" w:bidi="hi-IN"/>
        </w:rPr>
      </w:pPr>
    </w:p>
    <w:tbl>
      <w:tblPr>
        <w:tblStyle w:val="46"/>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1417"/>
        <w:gridCol w:w="19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D9D9D9"/>
            <w:vAlign w:val="center"/>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18"/>
                <w:lang w:eastAsia="hi-IN" w:bidi="hi-IN"/>
              </w:rPr>
              <w:t>Índice</w:t>
            </w:r>
          </w:p>
        </w:tc>
        <w:tc>
          <w:tcPr>
            <w:tcW w:w="1417" w:type="dxa"/>
            <w:shd w:val="clear" w:color="auto" w:fill="D9D9D9"/>
            <w:vAlign w:val="center"/>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18"/>
                <w:lang w:eastAsia="hi-IN" w:bidi="hi-IN"/>
              </w:rPr>
              <w:t>Indicador solicitado</w:t>
            </w:r>
          </w:p>
        </w:tc>
        <w:tc>
          <w:tcPr>
            <w:tcW w:w="1968" w:type="dxa"/>
            <w:shd w:val="clear" w:color="auto" w:fill="D9D9D9"/>
            <w:vAlign w:val="center"/>
          </w:tcPr>
          <w:p>
            <w:pPr>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Indicador declarado por el oferente</w:t>
            </w:r>
          </w:p>
        </w:tc>
        <w:tc>
          <w:tcPr>
            <w:tcW w:w="2109" w:type="dxa"/>
            <w:shd w:val="clear" w:color="auto" w:fill="D9D9D9"/>
            <w:vAlign w:val="center"/>
          </w:tcPr>
          <w:p>
            <w:pPr>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Observaciones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auto"/>
            <w:vAlign w:val="center"/>
          </w:tcPr>
          <w:p>
            <w:pPr>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18"/>
                <w:lang w:eastAsia="hi-IN" w:bidi="hi-IN"/>
              </w:rPr>
              <w:t>Solvencia</w:t>
            </w:r>
          </w:p>
        </w:tc>
        <w:tc>
          <w:tcPr>
            <w:tcW w:w="1417" w:type="dxa"/>
            <w:shd w:val="clear" w:color="auto" w:fill="auto"/>
            <w:vAlign w:val="center"/>
          </w:tcPr>
          <w:p>
            <w:pPr>
              <w:suppressAutoHyphens/>
              <w:spacing w:after="0" w:line="240" w:lineRule="auto"/>
              <w:jc w:val="center"/>
              <w:rPr>
                <w:rFonts w:ascii="Arial" w:hAnsi="Arial" w:eastAsia="Times New Roman" w:cs="Arial"/>
                <w:spacing w:val="-3"/>
                <w:sz w:val="18"/>
                <w:lang w:eastAsia="hi-IN" w:bidi="hi-IN"/>
              </w:rPr>
            </w:pPr>
            <w:r>
              <w:rPr>
                <w:rFonts w:ascii="Arial" w:hAnsi="Arial" w:eastAsia="Times New Roman" w:cs="Arial"/>
                <w:spacing w:val="-3"/>
                <w:sz w:val="18"/>
                <w:lang w:eastAsia="hi-IN" w:bidi="hi-IN"/>
              </w:rPr>
              <w:t>&gt;/= 1</w:t>
            </w:r>
          </w:p>
        </w:tc>
        <w:tc>
          <w:tcPr>
            <w:tcW w:w="1968"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p>
        </w:tc>
        <w:tc>
          <w:tcPr>
            <w:tcW w:w="2109" w:type="dxa"/>
            <w:vAlign w:val="center"/>
          </w:tcPr>
          <w:p>
            <w:pPr>
              <w:suppressAutoHyphens/>
              <w:spacing w:after="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auto"/>
            <w:vAlign w:val="center"/>
          </w:tcPr>
          <w:p>
            <w:pPr>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18"/>
                <w:lang w:eastAsia="hi-IN" w:bidi="hi-IN"/>
              </w:rPr>
              <w:t>Endeudamiento</w:t>
            </w:r>
          </w:p>
        </w:tc>
        <w:tc>
          <w:tcPr>
            <w:tcW w:w="1417" w:type="dxa"/>
            <w:shd w:val="clear" w:color="auto" w:fill="auto"/>
            <w:vAlign w:val="center"/>
          </w:tcPr>
          <w:p>
            <w:pPr>
              <w:suppressAutoHyphens/>
              <w:spacing w:after="0" w:line="240" w:lineRule="auto"/>
              <w:jc w:val="center"/>
              <w:rPr>
                <w:rFonts w:ascii="Arial" w:hAnsi="Arial" w:eastAsia="Times New Roman" w:cs="Arial"/>
                <w:spacing w:val="-3"/>
                <w:sz w:val="18"/>
                <w:lang w:eastAsia="hi-IN" w:bidi="hi-IN"/>
              </w:rPr>
            </w:pPr>
            <w:r>
              <w:rPr>
                <w:rFonts w:ascii="Arial" w:hAnsi="Arial" w:eastAsia="Times New Roman" w:cs="Arial"/>
                <w:spacing w:val="-3"/>
                <w:sz w:val="18"/>
                <w:lang w:eastAsia="hi-IN" w:bidi="hi-IN"/>
              </w:rPr>
              <w:t>&lt; 0.85</w:t>
            </w:r>
          </w:p>
        </w:tc>
        <w:tc>
          <w:tcPr>
            <w:tcW w:w="1968"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p>
        </w:tc>
        <w:tc>
          <w:tcPr>
            <w:tcW w:w="2109" w:type="dxa"/>
            <w:vAlign w:val="center"/>
          </w:tcPr>
          <w:p>
            <w:pPr>
              <w:suppressAutoHyphens/>
              <w:spacing w:after="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auto"/>
          </w:tcPr>
          <w:p>
            <w:pPr>
              <w:suppressAutoHyphens/>
              <w:spacing w:after="0" w:line="240" w:lineRule="auto"/>
              <w:jc w:val="both"/>
              <w:rPr>
                <w:rFonts w:ascii="Arial" w:hAnsi="Arial" w:eastAsia="Times New Roman" w:cs="Arial"/>
                <w:spacing w:val="-3"/>
                <w:sz w:val="18"/>
                <w:lang w:eastAsia="hi-IN" w:bidi="hi-IN"/>
              </w:rPr>
            </w:pPr>
            <w:r>
              <w:rPr>
                <w:rFonts w:ascii="Arial" w:hAnsi="Arial" w:eastAsia="Times New Roman" w:cs="Arial"/>
                <w:spacing w:val="-3"/>
                <w:sz w:val="18"/>
                <w:lang w:eastAsia="hi-IN" w:bidi="hi-IN"/>
              </w:rPr>
              <w:t>Índice estructural</w:t>
            </w:r>
          </w:p>
        </w:tc>
        <w:tc>
          <w:tcPr>
            <w:tcW w:w="1417" w:type="dxa"/>
            <w:shd w:val="clear" w:color="auto" w:fill="auto"/>
            <w:vAlign w:val="center"/>
          </w:tcPr>
          <w:p>
            <w:pPr>
              <w:suppressAutoHyphens/>
              <w:spacing w:after="0" w:line="240" w:lineRule="auto"/>
              <w:jc w:val="center"/>
              <w:rPr>
                <w:rFonts w:ascii="Arial" w:hAnsi="Arial" w:eastAsia="Times New Roman" w:cs="Arial"/>
                <w:spacing w:val="-3"/>
                <w:sz w:val="18"/>
                <w:lang w:eastAsia="hi-IN" w:bidi="hi-IN"/>
              </w:rPr>
            </w:pPr>
            <w:r>
              <w:rPr>
                <w:rFonts w:ascii="Arial" w:hAnsi="Arial" w:eastAsia="Times New Roman" w:cs="Arial"/>
                <w:spacing w:val="-3"/>
                <w:sz w:val="18"/>
                <w:lang w:eastAsia="hi-IN" w:bidi="hi-IN"/>
              </w:rPr>
              <w:t>&gt;= 0.20</w:t>
            </w:r>
          </w:p>
        </w:tc>
        <w:tc>
          <w:tcPr>
            <w:tcW w:w="1968"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p>
        </w:tc>
        <w:tc>
          <w:tcPr>
            <w:tcW w:w="2109" w:type="dxa"/>
            <w:vAlign w:val="center"/>
          </w:tcPr>
          <w:p>
            <w:pPr>
              <w:suppressAutoHyphens/>
              <w:spacing w:after="0" w:line="240" w:lineRule="auto"/>
              <w:jc w:val="center"/>
              <w:rPr>
                <w:rFonts w:ascii="Arial" w:hAnsi="Arial" w:eastAsia="Times New Roman" w:cs="Arial"/>
                <w:spacing w:val="-3"/>
                <w:sz w:val="20"/>
                <w:lang w:eastAsia="hi-IN" w:bidi="hi-IN"/>
              </w:rPr>
            </w:pPr>
          </w:p>
        </w:tc>
      </w:tr>
    </w:tbl>
    <w:p>
      <w:pPr>
        <w:tabs>
          <w:tab w:val="center" w:pos="2164"/>
        </w:tabs>
        <w:suppressAutoHyphens/>
        <w:spacing w:after="0" w:line="240" w:lineRule="auto"/>
        <w:ind w:left="15" w:right="45"/>
        <w:jc w:val="both"/>
        <w:rPr>
          <w:rFonts w:ascii="Arial" w:hAnsi="Arial" w:eastAsia="Times New Roman" w:cs="Arial"/>
          <w:sz w:val="18"/>
          <w:lang w:eastAsia="hi-IN" w:bidi="hi-IN"/>
        </w:rPr>
      </w:pPr>
    </w:p>
    <w:p>
      <w:pPr>
        <w:suppressAutoHyphens/>
        <w:spacing w:after="0" w:line="240" w:lineRule="auto"/>
        <w:rPr>
          <w:rFonts w:ascii="Arial" w:hAnsi="Arial" w:eastAsia="Times New Roman" w:cs="Arial"/>
          <w:sz w:val="18"/>
          <w:lang w:eastAsia="hi-IN" w:bidi="hi-IN"/>
        </w:rPr>
      </w:pP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Las fórmulas a aplicar serán las siguientes:</w:t>
      </w:r>
    </w:p>
    <w:p>
      <w:pPr>
        <w:suppressAutoHyphens/>
        <w:spacing w:after="0" w:line="240" w:lineRule="auto"/>
        <w:rPr>
          <w:rFonts w:ascii="Arial" w:hAnsi="Arial" w:eastAsia="Times New Roman" w:cs="Arial"/>
          <w:sz w:val="20"/>
          <w:szCs w:val="20"/>
          <w:lang w:eastAsia="hi-IN" w:bidi="hi-IN"/>
        </w:rPr>
      </w:pP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Solvencia:</w:t>
      </w: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ab/>
      </w:r>
      <w:r>
        <w:rPr>
          <w:rFonts w:ascii="Arial" w:hAnsi="Arial" w:eastAsia="Times New Roman" w:cs="Arial"/>
          <w:sz w:val="20"/>
          <w:szCs w:val="20"/>
          <w:lang w:eastAsia="hi-IN" w:bidi="hi-IN"/>
        </w:rPr>
        <w:t>Activo corriente / Pasivo corriente</w:t>
      </w:r>
    </w:p>
    <w:p>
      <w:pPr>
        <w:suppressAutoHyphens/>
        <w:spacing w:after="0" w:line="240" w:lineRule="auto"/>
        <w:rPr>
          <w:rFonts w:ascii="Arial" w:hAnsi="Arial" w:eastAsia="Times New Roman" w:cs="Arial"/>
          <w:sz w:val="20"/>
          <w:szCs w:val="20"/>
          <w:lang w:eastAsia="hi-IN" w:bidi="hi-IN"/>
        </w:rPr>
      </w:pP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Endeudamiento:</w:t>
      </w: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ab/>
      </w:r>
      <w:r>
        <w:rPr>
          <w:rFonts w:ascii="Arial" w:hAnsi="Arial" w:eastAsia="Times New Roman" w:cs="Arial"/>
          <w:sz w:val="20"/>
          <w:szCs w:val="20"/>
          <w:lang w:eastAsia="hi-IN" w:bidi="hi-IN"/>
        </w:rPr>
        <w:t>Pasivo total / Activo total</w:t>
      </w:r>
    </w:p>
    <w:p>
      <w:pPr>
        <w:spacing w:after="0" w:line="240" w:lineRule="auto"/>
        <w:jc w:val="both"/>
        <w:rPr>
          <w:rFonts w:ascii="Arial" w:hAnsi="Arial" w:eastAsia="Times New Roman" w:cs="Arial"/>
          <w:sz w:val="18"/>
          <w:lang w:eastAsia="hi-IN" w:bidi="hi-IN"/>
        </w:rPr>
      </w:pPr>
    </w:p>
    <w:p>
      <w:pPr>
        <w:spacing w:after="0" w:line="240" w:lineRule="auto"/>
        <w:jc w:val="both"/>
        <w:rPr>
          <w:rFonts w:ascii="Arial" w:hAnsi="Arial" w:eastAsia="Times New Roman" w:cs="Arial"/>
          <w:sz w:val="18"/>
          <w:lang w:eastAsia="hi-IN" w:bidi="hi-IN"/>
        </w:rPr>
      </w:pPr>
      <w:r>
        <w:rPr>
          <w:rFonts w:ascii="Arial" w:hAnsi="Arial" w:eastAsia="Times New Roman" w:cs="Arial"/>
          <w:sz w:val="20"/>
          <w:lang w:eastAsia="hi-IN" w:bidi="hi-IN"/>
        </w:rPr>
        <w:t>Estructural:</w:t>
      </w:r>
    </w:p>
    <w:p>
      <w:pPr>
        <w:spacing w:after="0" w:line="240" w:lineRule="auto"/>
        <w:ind w:firstLine="708"/>
        <w:jc w:val="both"/>
        <w:rPr>
          <w:rFonts w:ascii="Arial" w:hAnsi="Arial" w:eastAsia="Times New Roman" w:cs="Arial"/>
          <w:b/>
          <w:sz w:val="18"/>
          <w:lang w:eastAsia="hi-IN" w:bidi="hi-IN"/>
        </w:rPr>
      </w:pPr>
      <w:r>
        <w:rPr>
          <w:rFonts w:ascii="Arial" w:hAnsi="Arial" w:eastAsia="Times New Roman" w:cs="Arial"/>
          <w:sz w:val="20"/>
          <w:lang w:eastAsia="hi-IN" w:bidi="hi-IN"/>
        </w:rPr>
        <w:t>Patrimonio / Activo Total</w:t>
      </w:r>
    </w:p>
    <w:p>
      <w:pPr>
        <w:spacing w:after="0" w:line="240" w:lineRule="auto"/>
        <w:jc w:val="both"/>
        <w:rPr>
          <w:rFonts w:ascii="Arial" w:hAnsi="Arial" w:eastAsia="Times New Roman" w:cs="Arial"/>
          <w:b/>
          <w:sz w:val="18"/>
          <w:lang w:eastAsia="hi-IN" w:bidi="hi-IN"/>
        </w:rPr>
      </w:pPr>
    </w:p>
    <w:p>
      <w:pPr>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Nota: El incumplimiento de alguno de los índices financieros será causal de descalificación de  la oferta.</w:t>
      </w:r>
      <w:r>
        <w:rPr>
          <w:rFonts w:ascii="Arial" w:hAnsi="Arial" w:eastAsia="Times New Roman" w:cs="Arial"/>
          <w:b/>
          <w:sz w:val="18"/>
          <w:lang w:eastAsia="hi-IN" w:bidi="hi-IN"/>
        </w:rPr>
        <w:br w:type="page"/>
      </w:r>
      <w:r>
        <w:rPr>
          <w:rFonts w:ascii="Arial" w:hAnsi="Arial" w:eastAsia="Times New Roman" w:cs="Arial"/>
          <w:b/>
          <w:sz w:val="18"/>
          <w:lang w:eastAsia="hi-IN" w:bidi="hi-IN"/>
        </w:rPr>
        <w:t>1.4</w:t>
      </w:r>
      <w:r>
        <w:rPr>
          <w:rFonts w:ascii="Arial" w:hAnsi="Arial" w:eastAsia="Times New Roman" w:cs="Arial"/>
          <w:b/>
          <w:sz w:val="18"/>
          <w:lang w:eastAsia="hi-IN" w:bidi="hi-IN"/>
        </w:rPr>
        <w:tab/>
      </w:r>
      <w:r>
        <w:rPr>
          <w:rFonts w:ascii="Arial" w:hAnsi="Arial" w:eastAsia="Times New Roman" w:cs="Arial"/>
          <w:b/>
          <w:sz w:val="18"/>
          <w:lang w:eastAsia="hi-IN" w:bidi="hi-IN"/>
        </w:rPr>
        <w:t>TABLA DE DESCRIPCIÓN DE RUBROS, UNIDADES, CANTIDADES Y PRECIOS</w:t>
      </w:r>
    </w:p>
    <w:p>
      <w:pPr>
        <w:suppressAutoHyphens/>
        <w:spacing w:after="0" w:line="240" w:lineRule="auto"/>
        <w:ind w:left="15" w:right="45"/>
        <w:rPr>
          <w:rFonts w:ascii="Arial" w:hAnsi="Arial" w:eastAsia="Times New Roman" w:cs="Arial"/>
          <w:b/>
          <w:spacing w:val="-3"/>
          <w:sz w:val="18"/>
          <w:lang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 DE LAS AREPAS ENTRE SIN NOMBRE Y SIN NOMBRE</w:t>
      </w:r>
    </w:p>
    <w:p>
      <w:pPr>
        <w:suppressAutoHyphens/>
        <w:spacing w:after="0" w:line="240" w:lineRule="auto"/>
        <w:jc w:val="both"/>
        <w:rPr>
          <w:rFonts w:ascii="Arial" w:hAnsi="Arial" w:eastAsia="Times New Roman" w:cs="Arial"/>
          <w:b/>
          <w:sz w:val="18"/>
          <w:lang w:eastAsia="hi-IN" w:bidi="hi-IN"/>
        </w:rPr>
      </w:pPr>
    </w:p>
    <w:tbl>
      <w:tblPr>
        <w:tblStyle w:val="46"/>
        <w:tblW w:w="9335" w:type="dxa"/>
        <w:tblInd w:w="0" w:type="dxa"/>
        <w:tblLayout w:type="fixed"/>
        <w:tblCellMar>
          <w:top w:w="0" w:type="dxa"/>
          <w:left w:w="70" w:type="dxa"/>
          <w:bottom w:w="0" w:type="dxa"/>
          <w:right w:w="70" w:type="dxa"/>
        </w:tblCellMar>
      </w:tblPr>
      <w:tblGrid>
        <w:gridCol w:w="976"/>
        <w:gridCol w:w="4776"/>
        <w:gridCol w:w="767"/>
        <w:gridCol w:w="932"/>
        <w:gridCol w:w="866"/>
        <w:gridCol w:w="1018"/>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76"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76"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6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3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66"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1018"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76"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76"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76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32"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66"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1018"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76"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76"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6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96.40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167.06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41.31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162.94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69.83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178.30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713.21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Válvula HF d = 63 mm, sello de bronce sin anclajes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PVC d = 63 mm, U/E  1 MPA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HF d = 63 mm, U/E  1 MPA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agua potable aprobadas por ETAPA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0.72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 Importado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2.5 a 3 m, incluye encofrado metálico, excluye tapa, cerco y/o brocal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52.15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896.22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76.40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10,247.71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alcantarillado aprobadas por ETAPA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CANALIZACION TELEFONICA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290.36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174.21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435.54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261.32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495.18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2,365.00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70.20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68.63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268.75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51.23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904.75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9,559.87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canalización telefónica aprobadas por ETAPA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0.72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ILUMINACION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627.14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940.71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134.96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67.48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8,290.83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114.20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456.79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456.79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1,804.23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324.19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1,213.52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12,472.37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1.35x1.35x0.08 m con cerco y platina perimetral de 1/4" (tapa dos cuerpos)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811.35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1,022.90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4,091.59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32.45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432.72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2,163.59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154.52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1,545.42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515.74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2,163.59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2,318.13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1,159.07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63.05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63.05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31.53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51,144.90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13.78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4,260.27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 incluye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6,848.67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7,985.55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4,641.42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1,392.43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 base conformación y compactación con equipo pesado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928.28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696.21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4,641.42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4,641.42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79,855.50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684.87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Peinado de taludes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277.50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Estructural f´c = 300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2,320.71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116.10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1,160.36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3,481.07</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774.00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DE CONTENCIÓN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1 : GAVIÓN, Abscisa Inicial: 0+460, Abscisa Final: 0+510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4,361.50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2 : GAVIÓN, Abscisa Inicial: 0+530, Abscisa Final: 0+547</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38.25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1,482.91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3: HORMIGÓN CICLÓPEO, Abscisa 0+540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mecánica de estructuras de hormigón ciclópeo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18.75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34.13</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(40% H.S. y 60% piedra)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54.75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desagüe, d=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48.99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850.71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8,003,015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4: GAVIÓN, Abscisa Inicial: 0+570, Abscisa Final: 0+650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974.30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336.25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177.30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472.50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776.80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974.30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14,618.89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8,004,013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5: HORMIGÓN CICLÓPEO, Abscisa Inicial: 0+628,38, Abscisa Final: 0+675</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46.61</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13.98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117.46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150.32</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186.44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(40% H.S. y 60% piedra)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84.36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desagüe, d=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13.98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117.46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1,879.59</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8,005,014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6: GAVIÓN, Abscisa Inicial: 0+675 Abscisa Final: 0+700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2,359.50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8,006,012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No. 7: HORMIGÓN CICLÓPEO, Abscisa Inicial: 0+660, Abscisa Final: 0+690</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75.60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251.25</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135.00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35.16</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(40% H.S. y 60% piedra) f´c = 210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129.80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75.60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1,381.38</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8,007,011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8,007,012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8,007,013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SUBDREN, TRAMO 0+545 - 0+625</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12.80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9,004</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perforada para dren, d= 110 mm</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9,005</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Material filtrante para drenes, suministro y colocación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9,006</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9,007</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2,121.60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9,008</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141.44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9,009</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SEGURIDAD VIAL</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10,001</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(2 usos)</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10,002</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180 kg/cm2</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0.14</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10,003</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Guardacaminos (simple, poste metálico), suministro y colocación, incluye gema reflectiva.</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97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7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6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66"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1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451"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66"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1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suppressAutoHyphens/>
        <w:spacing w:after="0" w:line="240" w:lineRule="auto"/>
        <w:jc w:val="both"/>
        <w:rPr>
          <w:rFonts w:ascii="Arial" w:hAnsi="Arial" w:eastAsia="Times New Roman" w:cs="Arial"/>
          <w:sz w:val="18"/>
          <w:lang w:val="es-ES" w:eastAsia="hi-IN" w:bidi="hi-IN"/>
        </w:rPr>
      </w:pPr>
    </w:p>
    <w:p>
      <w:pPr>
        <w:suppressAutoHyphens/>
        <w:spacing w:after="0" w:line="240" w:lineRule="auto"/>
        <w:jc w:val="both"/>
        <w:rPr>
          <w:rFonts w:ascii="Arial" w:hAnsi="Arial" w:eastAsia="Times New Roman" w:cs="Arial"/>
          <w:bCs/>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r>
        <w:rPr>
          <w:rFonts w:ascii="Arial" w:hAnsi="Arial" w:eastAsia="Times New Roman" w:cs="Arial"/>
          <w:b/>
          <w:sz w:val="18"/>
          <w:lang w:eastAsia="hi-IN" w:bidi="hi-IN"/>
        </w:rPr>
        <w:t>CALLE DEL ROSERO Y SIN NOMBRE ENTRE DE LOS RELAMPAGOS Y DE LOS QUESITOS</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84" w:type="dxa"/>
        <w:tblInd w:w="0" w:type="dxa"/>
        <w:tblLayout w:type="fixed"/>
        <w:tblCellMar>
          <w:top w:w="0" w:type="dxa"/>
          <w:left w:w="70" w:type="dxa"/>
          <w:bottom w:w="0" w:type="dxa"/>
          <w:right w:w="70" w:type="dxa"/>
        </w:tblCellMar>
      </w:tblPr>
      <w:tblGrid>
        <w:gridCol w:w="988"/>
        <w:gridCol w:w="4677"/>
        <w:gridCol w:w="848"/>
        <w:gridCol w:w="993"/>
        <w:gridCol w:w="848"/>
        <w:gridCol w:w="1030"/>
      </w:tblGrid>
      <w:tr>
        <w:tblPrEx>
          <w:tblLayout w:type="fixed"/>
          <w:tblCellMar>
            <w:top w:w="0" w:type="dxa"/>
            <w:left w:w="70" w:type="dxa"/>
            <w:bottom w:w="0" w:type="dxa"/>
            <w:right w:w="70" w:type="dxa"/>
          </w:tblCellMar>
        </w:tblPrEx>
        <w:trPr>
          <w:trHeight w:val="270" w:hRule="atLeast"/>
        </w:trPr>
        <w:tc>
          <w:tcPr>
            <w:tcW w:w="9384"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8"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48"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93"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48"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1030"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8"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848"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3"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48"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103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8"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48"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261.57</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56.69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112.10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24.29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119.69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51.30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0.64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107.66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430.64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HF d = 63 mm, U/E  1 MPA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HF d = 63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 a 2.5 m, incluye encofrado metálico, excluye tapa, cerco y/o brocal</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PVC para alcantarillado, varias dimensiones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Tuberia PVC para alcantarillado U/E D=200mm serie 5, tipo B, suministro e instalación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38.09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602.46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6,905.56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alcantarillado U/E D=315mm serie 5, tipo B, suministro e instalación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CANALIZACION TELEFONICA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107.06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64.24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160.58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96.35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181.94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45.48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774.00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13.38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46.98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35.26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19.38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335.80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3,551.80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0.23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ILUMINACION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27.70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41.56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317.13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27.26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27.26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76.11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13.67</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53.61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551.05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1.35x1.35x0.08 m con cerco y platina perimetral de 1/4" (tapa dos cuerpos)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470.67</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226.43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905.72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39.93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138.46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692.30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23.17</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33.59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494.50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165.03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692.30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741.75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370.88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13.76</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11,321.50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 incluye retroexcavadora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650.02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62.92</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1,094.51</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1,276.20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1,236.25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432.69</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185.44</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1,236.25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1,236.25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12,762.00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109.45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741.75</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80.63</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370.88</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989.00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247.00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988"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8"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3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506"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48"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3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r>
        <w:rPr>
          <w:rFonts w:ascii="Arial" w:hAnsi="Arial" w:eastAsia="Times New Roman" w:cs="Arial"/>
          <w:b/>
          <w:sz w:val="18"/>
          <w:lang w:eastAsia="hi-IN" w:bidi="hi-IN"/>
        </w:rPr>
        <w:t>CALLE RETORNO SIN NOMBRE DA A LAS QUESADILLAS</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87"/>
        <w:gridCol w:w="4671"/>
        <w:gridCol w:w="849"/>
        <w:gridCol w:w="991"/>
        <w:gridCol w:w="849"/>
        <w:gridCol w:w="988"/>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8"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1"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8"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7"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1"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9.48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9.27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37.07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57.25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655.08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20.62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82.50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21.85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109.26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13.60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78.05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109.26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117.07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58.53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1,031.20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49.08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114.62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133.65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195.11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48.78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29.27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195.11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195.11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1,336.50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11.46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117.07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80.63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58.53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156.09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7498"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49"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p>
        </w:tc>
        <w:tc>
          <w:tcPr>
            <w:tcW w:w="98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 xml:space="preserve">CALLE DE LAS QUESADILLAS ENTRE SIN NOMBRE Y QUESADILLAS (FILO DE PAVIMENTO)  </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85"/>
        <w:gridCol w:w="4677"/>
        <w:gridCol w:w="851"/>
        <w:gridCol w:w="993"/>
        <w:gridCol w:w="851"/>
        <w:gridCol w:w="978"/>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5"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93"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78"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3"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78"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76.57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31.47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32.82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13.49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17.89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7.67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29.57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118.29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HF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HF d = 63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175.30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16.98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1,978.96</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CANALIZACION TELEFONICA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24.02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14.41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36.02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21.61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42.54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10.63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139.75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8.49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74.35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784.75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173.78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67.41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269.65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12.19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64.72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323.58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42.80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28.70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231.13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323.58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346.69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3,370.60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158.87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44.89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434.54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506.68</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577.81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86.67</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577.81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577.81</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5,066.80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43.45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346.69</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80.63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462.25</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985"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3"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78"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506"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51"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78"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p>
    <w:p>
      <w:pPr>
        <w:suppressAutoHyphens/>
        <w:spacing w:after="0" w:line="240" w:lineRule="auto"/>
        <w:jc w:val="both"/>
        <w:rPr>
          <w:rFonts w:ascii="Arial" w:hAnsi="Arial" w:eastAsia="Times New Roman" w:cs="Arial"/>
          <w:b/>
          <w:sz w:val="18"/>
          <w:lang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 DEL AGUA DE PITIMAS ENTRE MANUEL ANTONIO BORRERO Y SIN NOMBRE</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87"/>
        <w:gridCol w:w="4677"/>
        <w:gridCol w:w="851"/>
        <w:gridCol w:w="991"/>
        <w:gridCol w:w="849"/>
        <w:gridCol w:w="980"/>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RUBROS PARA OBRAS HIDROSANITARIAS</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7"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101.44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57.97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43.47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24.85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42.35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18.15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0.21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49.51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198.03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HF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 a 2.5 m, incluye encofrado metálico, excluye tapa, cerco y/o brocal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13.47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279.32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3,178.41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CANALIZACION TELEFONICA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68.27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40.96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102.40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61.44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108.48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731.00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7.57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28.70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5.81</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107.50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12.26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213.69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2,259.44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0.16</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MUROS, VEREDAS Y BORDILLOS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270.90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165.55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662.19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19.87</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96.32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481.60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60.73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114.80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481.60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258.00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8,277.40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548.90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0.48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0.65</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 incluye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DE PAVIMENTACION FLEXIBLE</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667.19</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777.94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129.00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7,779.40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66.72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SEÑALIZACION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80.63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RUBROS PARA  IMPACTOS AMBIENTALES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258.00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688.00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506"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TOTAL</w:t>
            </w:r>
          </w:p>
        </w:tc>
        <w:tc>
          <w:tcPr>
            <w:tcW w:w="849"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97,553.56</w:t>
            </w:r>
          </w:p>
        </w:tc>
      </w:tr>
    </w:tbl>
    <w:p>
      <w:pPr>
        <w:suppressAutoHyphens/>
        <w:spacing w:after="0" w:line="240" w:lineRule="auto"/>
        <w:jc w:val="both"/>
        <w:rPr>
          <w:rFonts w:ascii="Arial" w:hAnsi="Arial" w:eastAsia="Times New Roman" w:cs="Arial"/>
          <w:sz w:val="18"/>
          <w:lang w:val="es-ES" w:eastAsia="hi-IN" w:bidi="hi-IN"/>
        </w:rPr>
      </w:pPr>
    </w:p>
    <w:p>
      <w:pPr>
        <w:widowControl w:val="0"/>
        <w:suppressAutoHyphens/>
        <w:spacing w:after="0" w:line="240" w:lineRule="auto"/>
        <w:ind w:left="15" w:right="45"/>
        <w:jc w:val="both"/>
        <w:rPr>
          <w:rFonts w:ascii="Arial" w:hAnsi="Arial" w:eastAsia="Times New Roman" w:cs="Arial"/>
          <w:sz w:val="18"/>
          <w:lang w:eastAsia="hi-IN" w:bidi="hi-IN"/>
        </w:rPr>
      </w:pPr>
    </w:p>
    <w:p>
      <w:pPr>
        <w:widowControl w:val="0"/>
        <w:suppressAutoHyphens/>
        <w:spacing w:after="0" w:line="240" w:lineRule="auto"/>
        <w:ind w:left="15" w:right="45"/>
        <w:jc w:val="both"/>
        <w:rPr>
          <w:rFonts w:ascii="Arial" w:hAnsi="Arial" w:eastAsia="Times New Roman" w:cs="Arial"/>
          <w:sz w:val="18"/>
          <w:lang w:eastAsia="hi-IN" w:bidi="hi-IN"/>
        </w:rPr>
      </w:pPr>
      <w:r>
        <w:rPr>
          <w:rFonts w:ascii="Arial" w:hAnsi="Arial" w:eastAsia="Times New Roman" w:cs="Arial"/>
          <w:sz w:val="18"/>
          <w:lang w:eastAsia="hi-IN" w:bidi="hi-IN"/>
        </w:rPr>
        <w:t>PRECIO TOTAL DE LA OFERTA: (</w:t>
      </w:r>
      <w:r>
        <w:rPr>
          <w:rFonts w:ascii="Arial" w:hAnsi="Arial" w:eastAsia="Times New Roman" w:cs="Arial"/>
          <w:i/>
          <w:sz w:val="18"/>
          <w:lang w:eastAsia="hi-IN" w:bidi="hi-IN"/>
        </w:rPr>
        <w:t>en números</w:t>
      </w:r>
      <w:r>
        <w:rPr>
          <w:rFonts w:ascii="Arial" w:hAnsi="Arial" w:eastAsia="Times New Roman" w:cs="Arial"/>
          <w:sz w:val="18"/>
          <w:lang w:eastAsia="hi-IN" w:bidi="hi-IN"/>
        </w:rPr>
        <w:t>), sin IVA</w:t>
      </w:r>
    </w:p>
    <w:p>
      <w:pPr>
        <w:widowControl w:val="0"/>
        <w:suppressAutoHyphens/>
        <w:spacing w:after="0" w:line="240" w:lineRule="auto"/>
        <w:ind w:left="15" w:right="45"/>
        <w:rPr>
          <w:rFonts w:ascii="Arial" w:hAnsi="Arial" w:eastAsia="Times New Roman" w:cs="Arial"/>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rPr>
          <w:rFonts w:ascii="Arial" w:hAnsi="Arial" w:eastAsia="Times New Roman" w:cs="Arial"/>
          <w:sz w:val="18"/>
          <w:lang w:eastAsia="hi-IN" w:bidi="hi-IN"/>
        </w:rPr>
      </w:pPr>
    </w:p>
    <w:p>
      <w:pPr>
        <w:spacing w:after="0" w:line="240" w:lineRule="auto"/>
        <w:rPr>
          <w:rFonts w:ascii="Arial" w:hAnsi="Arial" w:eastAsia="Times New Roman" w:cs="Arial"/>
          <w:b/>
          <w:spacing w:val="-2"/>
          <w:sz w:val="20"/>
          <w:lang w:eastAsia="hi-IN" w:bidi="hi-IN"/>
        </w:rPr>
      </w:pPr>
      <w:r>
        <w:rPr>
          <w:rFonts w:ascii="Arial" w:hAnsi="Arial" w:eastAsia="Times New Roman" w:cs="Arial"/>
          <w:sz w:val="18"/>
          <w:lang w:eastAsia="hi-IN" w:bidi="hi-IN"/>
        </w:rPr>
        <w:br w:type="page"/>
      </w:r>
      <w:r>
        <w:rPr>
          <w:rFonts w:ascii="Arial" w:hAnsi="Arial" w:eastAsia="Times New Roman" w:cs="Arial"/>
          <w:b/>
          <w:spacing w:val="-2"/>
          <w:sz w:val="20"/>
          <w:lang w:eastAsia="hi-IN" w:bidi="hi-IN"/>
        </w:rPr>
        <w:t>1.5</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ANALISIS DE PRECIOS UNITARIOS</w:t>
      </w:r>
    </w:p>
    <w:p>
      <w:pPr>
        <w:tabs>
          <w:tab w:val="center" w:pos="2164"/>
        </w:tabs>
        <w:suppressAutoHyphens/>
        <w:spacing w:after="0" w:line="240" w:lineRule="auto"/>
        <w:ind w:left="15" w:right="45"/>
        <w:jc w:val="center"/>
        <w:rPr>
          <w:rFonts w:ascii="Arial" w:hAnsi="Arial" w:eastAsia="Times New Roman" w:cs="Arial"/>
          <w:spacing w:val="-2"/>
          <w:sz w:val="20"/>
          <w:lang w:eastAsia="hi-IN" w:bidi="hi-IN"/>
        </w:rPr>
      </w:pPr>
    </w:p>
    <w:tbl>
      <w:tblPr>
        <w:tblStyle w:val="46"/>
        <w:tblW w:w="9420" w:type="dxa"/>
        <w:tblInd w:w="55" w:type="dxa"/>
        <w:tblLayout w:type="fixed"/>
        <w:tblCellMar>
          <w:top w:w="0" w:type="dxa"/>
          <w:left w:w="70" w:type="dxa"/>
          <w:bottom w:w="0" w:type="dxa"/>
          <w:right w:w="70" w:type="dxa"/>
        </w:tblCellMar>
      </w:tblPr>
      <w:tblGrid>
        <w:gridCol w:w="1665"/>
        <w:gridCol w:w="1821"/>
        <w:gridCol w:w="1117"/>
        <w:gridCol w:w="1454"/>
        <w:gridCol w:w="1184"/>
        <w:gridCol w:w="1429"/>
        <w:gridCol w:w="750"/>
      </w:tblGrid>
      <w:tr>
        <w:tblPrEx>
          <w:tblLayout w:type="fixed"/>
          <w:tblCellMar>
            <w:top w:w="0" w:type="dxa"/>
            <w:left w:w="70" w:type="dxa"/>
            <w:bottom w:w="0" w:type="dxa"/>
            <w:right w:w="70" w:type="dxa"/>
          </w:tblCellMar>
        </w:tblPrEx>
        <w:trPr>
          <w:trHeight w:val="300" w:hRule="atLeast"/>
        </w:trPr>
        <w:tc>
          <w:tcPr>
            <w:tcW w:w="9420" w:type="dxa"/>
            <w:gridSpan w:val="7"/>
            <w:tcBorders>
              <w:top w:val="nil"/>
              <w:left w:val="nil"/>
              <w:bottom w:val="nil"/>
              <w:right w:val="nil"/>
            </w:tcBorders>
            <w:shd w:val="clear" w:color="auto" w:fill="auto"/>
            <w:vAlign w:val="center"/>
          </w:tcPr>
          <w:p>
            <w:pPr>
              <w:spacing w:after="0" w:line="240" w:lineRule="auto"/>
              <w:jc w:val="center"/>
              <w:rPr>
                <w:rFonts w:ascii="Century Gothic" w:hAnsi="Century Gothic" w:eastAsia="Times New Roman" w:cs="Arial"/>
                <w:b/>
                <w:bCs/>
                <w:sz w:val="24"/>
                <w:szCs w:val="24"/>
              </w:rPr>
            </w:pPr>
            <w:r>
              <w:rPr>
                <w:rFonts w:ascii="Century Gothic" w:hAnsi="Century Gothic" w:eastAsia="Times New Roman" w:cs="Arial"/>
                <w:b/>
                <w:bCs/>
                <w:sz w:val="24"/>
                <w:szCs w:val="24"/>
              </w:rPr>
              <w:t>Análisis de  Precios  Unitarios</w:t>
            </w: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r>
              <w:rPr>
                <w:rFonts w:ascii="Century Gothic" w:hAnsi="Century Gothic" w:eastAsia="Times New Roman" w:cs="Arial"/>
                <w:b/>
                <w:bCs/>
                <w:sz w:val="20"/>
                <w:szCs w:val="20"/>
              </w:rPr>
              <w:t>Item:</w:t>
            </w: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r>
              <w:rPr>
                <w:rFonts w:ascii="Century Gothic" w:hAnsi="Century Gothic" w:eastAsia="Times New Roman" w:cs="Arial"/>
                <w:sz w:val="20"/>
                <w:szCs w:val="20"/>
              </w:rPr>
              <w:t>………</w:t>
            </w:r>
          </w:p>
        </w:tc>
        <w:tc>
          <w:tcPr>
            <w:tcW w:w="1117"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c>
          <w:tcPr>
            <w:tcW w:w="1454"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c>
          <w:tcPr>
            <w:tcW w:w="1184"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p>
        </w:tc>
        <w:tc>
          <w:tcPr>
            <w:tcW w:w="1429"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c>
          <w:tcPr>
            <w:tcW w:w="750"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r>
              <w:rPr>
                <w:rFonts w:ascii="Century Gothic" w:hAnsi="Century Gothic" w:eastAsia="Times New Roman" w:cs="Arial"/>
                <w:b/>
                <w:bCs/>
                <w:sz w:val="20"/>
                <w:szCs w:val="20"/>
              </w:rPr>
              <w:t>Descrip.:</w:t>
            </w:r>
          </w:p>
        </w:tc>
        <w:tc>
          <w:tcPr>
            <w:tcW w:w="7755" w:type="dxa"/>
            <w:gridSpan w:val="6"/>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r>
              <w:rPr>
                <w:rFonts w:ascii="Century Gothic" w:hAnsi="Century Gothic" w:eastAsia="Times New Roman" w:cs="Arial"/>
                <w:sz w:val="20"/>
                <w:szCs w:val="20"/>
              </w:rPr>
              <w:t>………</w:t>
            </w: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r>
              <w:rPr>
                <w:rFonts w:ascii="Century Gothic" w:hAnsi="Century Gothic" w:eastAsia="Times New Roman" w:cs="Arial"/>
                <w:b/>
                <w:bCs/>
                <w:sz w:val="20"/>
                <w:szCs w:val="20"/>
              </w:rPr>
              <w:t>Unidad:</w:t>
            </w:r>
          </w:p>
        </w:tc>
        <w:tc>
          <w:tcPr>
            <w:tcW w:w="7755" w:type="dxa"/>
            <w:gridSpan w:val="6"/>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r>
              <w:rPr>
                <w:rFonts w:ascii="Century Gothic" w:hAnsi="Century Gothic" w:eastAsia="Times New Roman" w:cs="Arial"/>
                <w:sz w:val="20"/>
                <w:szCs w:val="20"/>
              </w:rPr>
              <w:t>………</w:t>
            </w:r>
          </w:p>
        </w:tc>
      </w:tr>
      <w:tr>
        <w:tblPrEx>
          <w:tblLayout w:type="fixed"/>
          <w:tblCellMar>
            <w:top w:w="0" w:type="dxa"/>
            <w:left w:w="70" w:type="dxa"/>
            <w:bottom w:w="0" w:type="dxa"/>
            <w:right w:w="70" w:type="dxa"/>
          </w:tblCellMar>
        </w:tblPrEx>
        <w:trPr>
          <w:trHeight w:val="300" w:hRule="atLeast"/>
        </w:trPr>
        <w:tc>
          <w:tcPr>
            <w:tcW w:w="1665" w:type="dxa"/>
            <w:tcBorders>
              <w:top w:val="nil"/>
              <w:left w:val="nil"/>
              <w:bottom w:val="nil"/>
              <w:right w:val="nil"/>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COSTOS DIRECTOS</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Equipo y herramienta</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Unidad</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Cantidad</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Precio</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Rendim.</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Equipo: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Materiales</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Unidad</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Cantidad</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Precio</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Materiales: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Transporte</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Unidad</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Cantidad</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Tarifa/U</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Distancia</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300" w:hRule="atLeast"/>
        </w:trPr>
        <w:tc>
          <w:tcPr>
            <w:tcW w:w="1665" w:type="dxa"/>
            <w:tcBorders>
              <w:top w:val="single" w:color="auto" w:sz="4" w:space="0"/>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single" w:color="auto" w:sz="4" w:space="0"/>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8"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Transporte: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Mano de Obra</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Número</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S.R.H.</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Rendim.</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Mano de Obra: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8670" w:type="dxa"/>
            <w:gridSpan w:val="6"/>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Costo Directo Total: </w:t>
            </w: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300" w:hRule="atLeast"/>
        </w:trPr>
        <w:tc>
          <w:tcPr>
            <w:tcW w:w="1665"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1821"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COSTOS INDIRECTOS</w:t>
            </w:r>
          </w:p>
        </w:tc>
      </w:tr>
      <w:tr>
        <w:tblPrEx>
          <w:tblLayout w:type="fixed"/>
          <w:tblCellMar>
            <w:top w:w="0" w:type="dxa"/>
            <w:left w:w="70" w:type="dxa"/>
            <w:bottom w:w="0" w:type="dxa"/>
            <w:right w:w="70" w:type="dxa"/>
          </w:tblCellMar>
        </w:tblPrEx>
        <w:trPr>
          <w:trHeight w:val="285" w:hRule="atLeast"/>
        </w:trPr>
        <w:tc>
          <w:tcPr>
            <w:tcW w:w="8670" w:type="dxa"/>
            <w:gridSpan w:val="6"/>
            <w:tcBorders>
              <w:top w:val="single" w:color="auto" w:sz="8" w:space="0"/>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 %</w:t>
            </w: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8" w:space="0"/>
              <w:left w:val="single" w:color="auto" w:sz="8" w:space="0"/>
              <w:bottom w:val="single" w:color="auto" w:sz="8" w:space="0"/>
              <w:right w:val="nil"/>
            </w:tcBorders>
            <w:shd w:val="clear" w:color="000000" w:fill="D9D9D9"/>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Precio Unitario Total .................................................................................................</w:t>
            </w:r>
          </w:p>
        </w:tc>
        <w:tc>
          <w:tcPr>
            <w:tcW w:w="750" w:type="dxa"/>
            <w:tcBorders>
              <w:top w:val="single" w:color="auto" w:sz="8" w:space="0"/>
              <w:left w:val="nil"/>
              <w:bottom w:val="single" w:color="auto" w:sz="8" w:space="0"/>
              <w:right w:val="single" w:color="auto" w:sz="8" w:space="0"/>
            </w:tcBorders>
            <w:shd w:val="clear" w:color="000000" w:fill="D9D9D9"/>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bl>
    <w:p>
      <w:pPr>
        <w:widowControl w:val="0"/>
        <w:suppressAutoHyphens/>
        <w:spacing w:after="0" w:line="240" w:lineRule="auto"/>
        <w:ind w:left="15" w:right="45"/>
        <w:rPr>
          <w:rFonts w:ascii="Arial" w:hAnsi="Arial" w:eastAsia="Times New Roman" w:cs="Arial"/>
          <w:b/>
          <w:sz w:val="18"/>
          <w:szCs w:val="20"/>
          <w:lang w:val="es-ES" w:eastAsia="hi-IN" w:bidi="hi-IN"/>
        </w:rPr>
      </w:pPr>
    </w:p>
    <w:p>
      <w:pPr>
        <w:widowControl w:val="0"/>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ESTE PRECIO NO INCLUYE IVA.</w:t>
      </w:r>
    </w:p>
    <w:p>
      <w:pPr>
        <w:spacing w:after="0" w:line="240" w:lineRule="auto"/>
        <w:rPr>
          <w:rFonts w:ascii="Arial" w:hAnsi="Arial" w:eastAsia="Times New Roman" w:cs="Arial"/>
          <w:sz w:val="18"/>
          <w:lang w:eastAsia="hi-IN" w:bidi="hi-IN"/>
        </w:rPr>
      </w:pPr>
    </w:p>
    <w:p>
      <w:pPr>
        <w:widowControl w:val="0"/>
        <w:suppressAutoHyphens/>
        <w:spacing w:after="0" w:line="240" w:lineRule="auto"/>
        <w:ind w:left="15" w:right="45"/>
        <w:rPr>
          <w:rFonts w:ascii="Arial" w:hAnsi="Arial" w:eastAsia="Times New Roman" w:cs="Arial"/>
          <w:sz w:val="18"/>
          <w:lang w:eastAsia="hi-IN" w:bidi="hi-IN"/>
        </w:rPr>
      </w:pPr>
    </w:p>
    <w:p>
      <w:pPr>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1.6</w:t>
      </w:r>
      <w:r>
        <w:rPr>
          <w:rFonts w:ascii="Arial" w:hAnsi="Arial" w:eastAsia="Times New Roman" w:cs="Arial"/>
          <w:b/>
          <w:bCs/>
          <w:sz w:val="20"/>
          <w:lang w:eastAsia="hi-IN" w:bidi="hi-IN"/>
        </w:rPr>
        <w:tab/>
      </w:r>
      <w:r>
        <w:rPr>
          <w:rFonts w:ascii="Arial" w:hAnsi="Arial" w:eastAsia="Times New Roman" w:cs="Arial"/>
          <w:b/>
          <w:bCs/>
          <w:sz w:val="20"/>
          <w:lang w:eastAsia="hi-IN" w:bidi="hi-IN"/>
        </w:rPr>
        <w:t>METODOLOGÍA DE CONSTRUCCIÓN</w:t>
      </w:r>
    </w:p>
    <w:p>
      <w:pPr>
        <w:suppressAutoHyphens/>
        <w:spacing w:after="0" w:line="240" w:lineRule="auto"/>
        <w:ind w:left="15" w:right="45"/>
        <w:rPr>
          <w:rFonts w:ascii="Arial" w:hAnsi="Arial" w:eastAsia="Times New Roman" w:cs="Arial"/>
          <w:b/>
          <w:spacing w:val="-2"/>
          <w:sz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El oferente deberá presentar e indicar con suficiente detalle la Metodología y procedimientos a seguir de una manera clara, para cumplir con los diferentes trabajos de ejecución de las obras. Se considerará la correcta secuencia de actividades y el número de frentes de trabajo simultáneo que propone. El oferente no reproducirá las especificaciones técnicas de la obra para describir la metodología que propone usar, de así hacerlo será descalificado.</w:t>
      </w:r>
    </w:p>
    <w:p>
      <w:pPr>
        <w:tabs>
          <w:tab w:val="left" w:pos="-540"/>
        </w:tabs>
        <w:suppressAutoHyphens/>
        <w:spacing w:after="0" w:line="240" w:lineRule="auto"/>
        <w:ind w:left="15" w:right="45"/>
        <w:jc w:val="both"/>
        <w:rPr>
          <w:rFonts w:ascii="Arial" w:hAnsi="Arial" w:eastAsia="Times New Roman" w:cs="Arial"/>
          <w:spacing w:val="-3"/>
          <w:sz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El oferente deberá presentar el Cronograma Valorado de ejecución de trabajos, que deberá guardar relación con los análisis de precios unitarios, el Personal Técnico propuesto y la utilización de equipos. Quien resultare adjudicatario del presente proceso además deberá establecer la Ruta Crítica del proyecto mediante la utilización del CPM (CriticalPathMethod) o Diagrama de Ruta Crítica, la cual deberá ser adjuntada a la oferta.</w:t>
      </w:r>
    </w:p>
    <w:p>
      <w:pPr>
        <w:suppressAutoHyphens/>
        <w:spacing w:after="0" w:line="240" w:lineRule="auto"/>
        <w:ind w:left="15" w:right="45"/>
        <w:jc w:val="both"/>
        <w:rPr>
          <w:rFonts w:ascii="Arial" w:hAnsi="Arial" w:eastAsia="Times New Roman" w:cs="Arial"/>
          <w:b/>
          <w:spacing w:val="-2"/>
          <w:sz w:val="18"/>
          <w:lang w:eastAsia="hi-IN" w:bidi="hi-IN"/>
        </w:rPr>
      </w:pPr>
    </w:p>
    <w:p>
      <w:pPr>
        <w:suppressAutoHyphens/>
        <w:spacing w:after="0" w:line="240" w:lineRule="auto"/>
        <w:ind w:left="15" w:right="45"/>
        <w:jc w:val="both"/>
        <w:rPr>
          <w:rFonts w:ascii="Arial" w:hAnsi="Arial" w:eastAsia="Times New Roman" w:cs="Arial"/>
          <w:b/>
          <w:spacing w:val="-2"/>
          <w:sz w:val="18"/>
          <w:lang w:eastAsia="hi-IN" w:bidi="hi-IN"/>
        </w:rPr>
      </w:pPr>
    </w:p>
    <w:p>
      <w:pPr>
        <w:spacing w:after="0" w:line="240" w:lineRule="auto"/>
        <w:rPr>
          <w:rFonts w:ascii="Arial" w:hAnsi="Arial" w:eastAsia="Times New Roman" w:cs="Arial"/>
          <w:b/>
          <w:sz w:val="18"/>
          <w:lang w:eastAsia="hi-IN" w:bidi="hi-IN"/>
        </w:rPr>
      </w:pPr>
      <w:r>
        <w:rPr>
          <w:rFonts w:ascii="Arial" w:hAnsi="Arial" w:eastAsia="Times New Roman" w:cs="Arial"/>
          <w:b/>
          <w:spacing w:val="-2"/>
          <w:sz w:val="18"/>
          <w:lang w:eastAsia="hi-IN" w:bidi="hi-IN"/>
        </w:rPr>
        <w:br w:type="page"/>
      </w:r>
      <w:r>
        <w:rPr>
          <w:rFonts w:ascii="Arial" w:hAnsi="Arial" w:eastAsia="Times New Roman" w:cs="Arial"/>
          <w:b/>
          <w:sz w:val="18"/>
          <w:lang w:eastAsia="hi-IN" w:bidi="hi-IN"/>
        </w:rPr>
        <w:t>1.7</w:t>
      </w:r>
      <w:r>
        <w:rPr>
          <w:rFonts w:ascii="Arial" w:hAnsi="Arial" w:eastAsia="Times New Roman" w:cs="Arial"/>
          <w:b/>
          <w:sz w:val="18"/>
          <w:lang w:eastAsia="hi-IN" w:bidi="hi-IN"/>
        </w:rPr>
        <w:tab/>
      </w:r>
      <w:r>
        <w:rPr>
          <w:rFonts w:ascii="Arial" w:hAnsi="Arial" w:eastAsia="Times New Roman" w:cs="Arial"/>
          <w:b/>
          <w:sz w:val="18"/>
          <w:lang w:eastAsia="hi-IN" w:bidi="hi-IN"/>
        </w:rPr>
        <w:t>CRONOGRAMA VALORADO DE TRABAJOS</w:t>
      </w:r>
    </w:p>
    <w:p>
      <w:pPr>
        <w:suppressAutoHyphens/>
        <w:spacing w:after="0" w:line="240" w:lineRule="auto"/>
        <w:ind w:left="15" w:right="45"/>
        <w:rPr>
          <w:rFonts w:ascii="Arial" w:hAnsi="Arial" w:eastAsia="Times New Roman" w:cs="Arial"/>
          <w:b/>
          <w:spacing w:val="-2"/>
          <w:sz w:val="18"/>
          <w:lang w:eastAsia="hi-IN" w:bidi="hi-IN"/>
        </w:rPr>
      </w:pPr>
    </w:p>
    <w:tbl>
      <w:tblPr>
        <w:tblStyle w:val="46"/>
        <w:tblW w:w="10670" w:type="dxa"/>
        <w:jc w:val="center"/>
        <w:tblInd w:w="0" w:type="dxa"/>
        <w:tblLayout w:type="fixed"/>
        <w:tblCellMar>
          <w:top w:w="0" w:type="dxa"/>
          <w:left w:w="0" w:type="dxa"/>
          <w:bottom w:w="0" w:type="dxa"/>
          <w:right w:w="0" w:type="dxa"/>
        </w:tblCellMar>
      </w:tblPr>
      <w:tblGrid>
        <w:gridCol w:w="2029"/>
        <w:gridCol w:w="1072"/>
        <w:gridCol w:w="1260"/>
        <w:gridCol w:w="1168"/>
        <w:gridCol w:w="425"/>
        <w:gridCol w:w="425"/>
        <w:gridCol w:w="426"/>
        <w:gridCol w:w="425"/>
        <w:gridCol w:w="425"/>
        <w:gridCol w:w="425"/>
        <w:gridCol w:w="426"/>
        <w:gridCol w:w="425"/>
        <w:gridCol w:w="425"/>
        <w:gridCol w:w="425"/>
        <w:gridCol w:w="426"/>
        <w:gridCol w:w="463"/>
      </w:tblGrid>
      <w:tr>
        <w:tblPrEx>
          <w:tblLayout w:type="fixed"/>
          <w:tblCellMar>
            <w:top w:w="0" w:type="dxa"/>
            <w:left w:w="0" w:type="dxa"/>
            <w:bottom w:w="0" w:type="dxa"/>
            <w:right w:w="0" w:type="dxa"/>
          </w:tblCellMar>
        </w:tblPrEx>
        <w:trPr>
          <w:trHeight w:val="605" w:hRule="atLeast"/>
          <w:jc w:val="center"/>
        </w:trPr>
        <w:tc>
          <w:tcPr>
            <w:tcW w:w="2029"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Rubro</w:t>
            </w:r>
          </w:p>
        </w:tc>
        <w:tc>
          <w:tcPr>
            <w:tcW w:w="1072"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Cantidad</w:t>
            </w:r>
          </w:p>
        </w:tc>
        <w:tc>
          <w:tcPr>
            <w:tcW w:w="1260"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Precio unitario</w:t>
            </w:r>
          </w:p>
        </w:tc>
        <w:tc>
          <w:tcPr>
            <w:tcW w:w="1168"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Precio total</w:t>
            </w:r>
          </w:p>
        </w:tc>
        <w:tc>
          <w:tcPr>
            <w:tcW w:w="5141" w:type="dxa"/>
            <w:gridSpan w:val="12"/>
            <w:tcBorders>
              <w:top w:val="single" w:color="000000" w:sz="4" w:space="0"/>
              <w:left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Tiempo en (semanas, meses)</w:t>
            </w:r>
          </w:p>
          <w:p>
            <w:pPr>
              <w:suppressAutoHyphens/>
              <w:spacing w:after="0" w:line="240" w:lineRule="auto"/>
              <w:ind w:left="15" w:right="45"/>
              <w:jc w:val="center"/>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15" w:hRule="atLeast"/>
          <w:jc w:val="center"/>
        </w:trPr>
        <w:tc>
          <w:tcPr>
            <w:tcW w:w="2029"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1072"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1260"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1168"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2</w:t>
            </w:r>
          </w:p>
        </w:tc>
        <w:tc>
          <w:tcPr>
            <w:tcW w:w="4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3</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4</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5</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6</w:t>
            </w:r>
          </w:p>
        </w:tc>
        <w:tc>
          <w:tcPr>
            <w:tcW w:w="4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7</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8</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9</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10</w:t>
            </w:r>
          </w:p>
        </w:tc>
        <w:tc>
          <w:tcPr>
            <w:tcW w:w="4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12</w:t>
            </w: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PrEx>
        <w:trPr>
          <w:trHeight w:val="300" w:hRule="atLeast"/>
          <w:jc w:val="center"/>
        </w:trPr>
        <w:tc>
          <w:tcPr>
            <w:tcW w:w="2029"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bottom w:val="single" w:color="auto"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5529" w:type="dxa"/>
            <w:gridSpan w:val="4"/>
            <w:tcBorders>
              <w:top w:val="single" w:color="auto" w:sz="4" w:space="0"/>
              <w:left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Inversión mensual</w:t>
            </w:r>
          </w:p>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auto"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5529" w:type="dxa"/>
            <w:gridSpan w:val="4"/>
            <w:tcBorders>
              <w:top w:val="single" w:color="000000" w:sz="4" w:space="0"/>
              <w:left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Avance parcial en %</w:t>
            </w:r>
          </w:p>
          <w:p>
            <w:pPr>
              <w:suppressAutoHyphens/>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5529" w:type="dxa"/>
            <w:gridSpan w:val="4"/>
            <w:tcBorders>
              <w:top w:val="single" w:color="000000" w:sz="4" w:space="0"/>
              <w:left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Inversión acumulada</w:t>
            </w:r>
          </w:p>
          <w:p>
            <w:pPr>
              <w:suppressAutoHyphens/>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 </w:t>
            </w: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15" w:hRule="atLeast"/>
          <w:jc w:val="center"/>
        </w:trPr>
        <w:tc>
          <w:tcPr>
            <w:tcW w:w="5529" w:type="dxa"/>
            <w:gridSpan w:val="4"/>
            <w:tcBorders>
              <w:top w:val="single" w:color="000000" w:sz="4" w:space="0"/>
              <w:left w:val="single" w:color="000000" w:sz="4" w:space="0"/>
              <w:bottom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Avance acumulado en %</w:t>
            </w:r>
          </w:p>
          <w:p>
            <w:pPr>
              <w:suppressAutoHyphens/>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bl>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rPr>
          <w:rFonts w:ascii="Arial" w:hAnsi="Arial" w:eastAsia="Times New Roman" w:cs="Arial"/>
          <w:b/>
          <w:sz w:val="18"/>
          <w:lang w:eastAsia="hi-IN" w:bidi="hi-IN"/>
        </w:rPr>
      </w:pPr>
      <w:r>
        <w:rPr>
          <w:rFonts w:ascii="Arial" w:hAnsi="Arial" w:eastAsia="Times New Roman" w:cs="Arial"/>
          <w:b/>
          <w:sz w:val="18"/>
          <w:lang w:eastAsia="hi-IN" w:bidi="hi-IN"/>
        </w:rPr>
        <w:br w:type="page"/>
      </w:r>
    </w:p>
    <w:p>
      <w:pPr>
        <w:suppressAutoHyphens/>
        <w:spacing w:after="0" w:line="240" w:lineRule="auto"/>
        <w:ind w:left="15" w:right="45"/>
        <w:rPr>
          <w:rFonts w:ascii="Arial" w:hAnsi="Arial" w:eastAsia="Times New Roman" w:cs="Arial"/>
          <w:b/>
          <w:sz w:val="20"/>
          <w:lang w:eastAsia="hi-IN" w:bidi="hi-IN"/>
        </w:rPr>
      </w:pPr>
      <w:r>
        <w:rPr>
          <w:rFonts w:ascii="Arial" w:hAnsi="Arial" w:eastAsia="Times New Roman" w:cs="Arial"/>
          <w:b/>
          <w:sz w:val="20"/>
          <w:lang w:eastAsia="hi-IN" w:bidi="hi-IN"/>
        </w:rPr>
        <w:t>1.8</w:t>
      </w:r>
      <w:r>
        <w:rPr>
          <w:rFonts w:ascii="Arial" w:hAnsi="Arial" w:eastAsia="Times New Roman" w:cs="Arial"/>
          <w:b/>
          <w:sz w:val="20"/>
          <w:lang w:eastAsia="hi-IN" w:bidi="hi-IN"/>
        </w:rPr>
        <w:tab/>
      </w:r>
      <w:r>
        <w:rPr>
          <w:rFonts w:ascii="Arial" w:hAnsi="Arial" w:eastAsia="Times New Roman" w:cs="Arial"/>
          <w:b/>
          <w:sz w:val="20"/>
          <w:lang w:eastAsia="hi-IN" w:bidi="hi-IN"/>
        </w:rPr>
        <w:t>EXPERIENCIA DEL OFERENTE</w:t>
      </w:r>
    </w:p>
    <w:p>
      <w:pPr>
        <w:suppressAutoHyphens/>
        <w:spacing w:after="0" w:line="240" w:lineRule="auto"/>
        <w:ind w:left="15" w:right="45"/>
        <w:rPr>
          <w:rFonts w:ascii="Arial" w:hAnsi="Arial" w:eastAsia="Times New Roman" w:cs="Arial"/>
          <w:b/>
          <w:sz w:val="20"/>
          <w:lang w:eastAsia="hi-IN" w:bidi="hi-IN"/>
        </w:rPr>
      </w:pPr>
    </w:p>
    <w:p>
      <w:pPr>
        <w:suppressAutoHyphens/>
        <w:spacing w:after="0" w:line="240" w:lineRule="auto"/>
        <w:ind w:left="15" w:right="45"/>
        <w:rPr>
          <w:rFonts w:ascii="Arial" w:hAnsi="Arial" w:eastAsia="Times New Roman" w:cs="Arial"/>
          <w:spacing w:val="-2"/>
          <w:sz w:val="20"/>
          <w:lang w:eastAsia="hi-IN" w:bidi="hi-IN"/>
        </w:rPr>
      </w:pPr>
    </w:p>
    <w:p>
      <w:pPr>
        <w:suppressAutoHyphens/>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b/>
          <w:sz w:val="20"/>
          <w:lang w:eastAsia="hi-IN" w:bidi="hi-IN"/>
        </w:rPr>
      </w:pPr>
      <w:r>
        <w:rPr>
          <w:rFonts w:ascii="Arial" w:hAnsi="Arial" w:eastAsia="Times New Roman" w:cs="Arial"/>
          <w:b/>
          <w:sz w:val="20"/>
          <w:lang w:eastAsia="hi-IN" w:bidi="hi-IN"/>
        </w:rPr>
        <w:t>EXPERIENCIA ESPECÍFICA:</w:t>
      </w:r>
    </w:p>
    <w:p>
      <w:pPr>
        <w:suppressAutoHyphens/>
        <w:spacing w:after="0" w:line="240" w:lineRule="auto"/>
        <w:ind w:left="15" w:right="45"/>
        <w:rPr>
          <w:rFonts w:ascii="Arial" w:hAnsi="Arial" w:eastAsia="Times New Roman" w:cs="Arial"/>
          <w:b/>
          <w:spacing w:val="-2"/>
          <w:sz w:val="20"/>
          <w:lang w:eastAsia="hi-IN" w:bidi="hi-IN"/>
        </w:rPr>
      </w:pPr>
    </w:p>
    <w:tbl>
      <w:tblPr>
        <w:tblStyle w:val="46"/>
        <w:tblW w:w="11202" w:type="dxa"/>
        <w:jc w:val="center"/>
        <w:tblInd w:w="0" w:type="dxa"/>
        <w:tblLayout w:type="fixed"/>
        <w:tblCellMar>
          <w:top w:w="0" w:type="dxa"/>
          <w:left w:w="0" w:type="dxa"/>
          <w:bottom w:w="0" w:type="dxa"/>
          <w:right w:w="0" w:type="dxa"/>
        </w:tblCellMar>
      </w:tblPr>
      <w:tblGrid>
        <w:gridCol w:w="382"/>
        <w:gridCol w:w="1371"/>
        <w:gridCol w:w="1802"/>
        <w:gridCol w:w="1322"/>
        <w:gridCol w:w="1200"/>
        <w:gridCol w:w="829"/>
        <w:gridCol w:w="1202"/>
        <w:gridCol w:w="1066"/>
        <w:gridCol w:w="2028"/>
      </w:tblGrid>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No</w:t>
            </w:r>
          </w:p>
          <w:p>
            <w:pPr>
              <w:rPr>
                <w:rFonts w:ascii="Arial" w:hAnsi="Arial" w:eastAsia="Times New Roman" w:cs="Arial"/>
                <w:sz w:val="20"/>
                <w:lang w:eastAsia="hi-IN" w:bidi="hi-IN"/>
              </w:rPr>
            </w:pPr>
          </w:p>
        </w:tc>
        <w:tc>
          <w:tcPr>
            <w:tcW w:w="1371"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Contratante</w:t>
            </w:r>
          </w:p>
        </w:tc>
        <w:tc>
          <w:tcPr>
            <w:tcW w:w="1802"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Objeto del contrato</w:t>
            </w:r>
          </w:p>
        </w:tc>
        <w:tc>
          <w:tcPr>
            <w:tcW w:w="1322"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Valor del Contrato</w:t>
            </w:r>
          </w:p>
        </w:tc>
        <w:tc>
          <w:tcPr>
            <w:tcW w:w="1200"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Plazo contractual</w:t>
            </w:r>
          </w:p>
        </w:tc>
        <w:tc>
          <w:tcPr>
            <w:tcW w:w="2031" w:type="dxa"/>
            <w:gridSpan w:val="2"/>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Fechas de ejecución</w:t>
            </w:r>
          </w:p>
        </w:tc>
        <w:tc>
          <w:tcPr>
            <w:tcW w:w="1066" w:type="dxa"/>
            <w:tcBorders>
              <w:top w:val="single" w:color="000000" w:sz="4" w:space="0"/>
              <w:left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lang w:eastAsia="hi-IN" w:bidi="hi-IN"/>
              </w:rPr>
            </w:pP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Tipo de Recepción</w:t>
            </w:r>
          </w:p>
        </w:tc>
        <w:tc>
          <w:tcPr>
            <w:tcW w:w="2028" w:type="dxa"/>
            <w:tcBorders>
              <w:top w:val="single" w:color="000000" w:sz="4" w:space="0"/>
              <w:left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Observaciones</w:t>
            </w:r>
          </w:p>
        </w:tc>
      </w:tr>
      <w:tr>
        <w:tblPrEx>
          <w:tblLayout w:type="fixed"/>
          <w:tblCellMar>
            <w:top w:w="0" w:type="dxa"/>
            <w:left w:w="0" w:type="dxa"/>
            <w:bottom w:w="0" w:type="dxa"/>
            <w:right w:w="0" w:type="dxa"/>
          </w:tblCellMar>
        </w:tblPrEx>
        <w:trPr>
          <w:trHeight w:val="304" w:hRule="atLeast"/>
          <w:jc w:val="center"/>
        </w:trPr>
        <w:tc>
          <w:tcPr>
            <w:tcW w:w="382" w:type="dxa"/>
            <w:tcBorders>
              <w:left w:val="single" w:color="000000" w:sz="4" w:space="0"/>
              <w:bottom w:val="single" w:color="000000" w:sz="4" w:space="0"/>
            </w:tcBorders>
            <w:shd w:val="clear" w:color="auto" w:fill="D9D9D9"/>
          </w:tcPr>
          <w:p>
            <w:pPr>
              <w:suppressAutoHyphens/>
              <w:snapToGrid w:val="0"/>
              <w:spacing w:after="0" w:line="240" w:lineRule="auto"/>
              <w:rPr>
                <w:rFonts w:ascii="Arial" w:hAnsi="Arial" w:eastAsia="Times New Roman" w:cs="Arial"/>
                <w:b/>
                <w:sz w:val="20"/>
                <w:lang w:eastAsia="hi-IN" w:bidi="hi-IN"/>
              </w:rPr>
            </w:pPr>
          </w:p>
        </w:tc>
        <w:tc>
          <w:tcPr>
            <w:tcW w:w="1371" w:type="dxa"/>
            <w:tcBorders>
              <w:left w:val="single" w:color="000000" w:sz="4" w:space="0"/>
              <w:bottom w:val="single" w:color="000000" w:sz="4" w:space="0"/>
            </w:tcBorders>
            <w:shd w:val="clear" w:color="auto" w:fill="D9D9D9"/>
            <w:vAlign w:val="center"/>
          </w:tcPr>
          <w:p>
            <w:pPr>
              <w:suppressAutoHyphens/>
              <w:snapToGrid w:val="0"/>
              <w:spacing w:after="0" w:line="240" w:lineRule="auto"/>
              <w:rPr>
                <w:rFonts w:ascii="Arial" w:hAnsi="Arial" w:eastAsia="Times New Roman" w:cs="Arial"/>
                <w:b/>
                <w:sz w:val="20"/>
                <w:lang w:eastAsia="hi-IN" w:bidi="hi-IN"/>
              </w:rPr>
            </w:pPr>
          </w:p>
        </w:tc>
        <w:tc>
          <w:tcPr>
            <w:tcW w:w="1802"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20"/>
                <w:lang w:eastAsia="hi-IN" w:bidi="hi-IN"/>
              </w:rPr>
            </w:pPr>
          </w:p>
        </w:tc>
        <w:tc>
          <w:tcPr>
            <w:tcW w:w="1322" w:type="dxa"/>
            <w:tcBorders>
              <w:left w:val="single" w:color="000000" w:sz="4" w:space="0"/>
              <w:bottom w:val="single" w:color="000000" w:sz="4" w:space="0"/>
            </w:tcBorders>
            <w:shd w:val="clear" w:color="auto" w:fill="D9D9D9"/>
            <w:vAlign w:val="center"/>
          </w:tcPr>
          <w:p>
            <w:pPr>
              <w:suppressAutoHyphens/>
              <w:snapToGrid w:val="0"/>
              <w:spacing w:after="0" w:line="240" w:lineRule="auto"/>
              <w:rPr>
                <w:rFonts w:ascii="Arial" w:hAnsi="Arial" w:eastAsia="Times New Roman" w:cs="Arial"/>
                <w:b/>
                <w:sz w:val="20"/>
                <w:lang w:eastAsia="hi-IN" w:bidi="hi-IN"/>
              </w:rPr>
            </w:pPr>
          </w:p>
        </w:tc>
        <w:tc>
          <w:tcPr>
            <w:tcW w:w="1200" w:type="dxa"/>
            <w:tcBorders>
              <w:left w:val="single" w:color="000000" w:sz="4" w:space="0"/>
              <w:bottom w:val="single" w:color="000000" w:sz="4" w:space="0"/>
            </w:tcBorders>
            <w:shd w:val="clear" w:color="auto" w:fill="D9D9D9"/>
            <w:vAlign w:val="center"/>
          </w:tcPr>
          <w:p>
            <w:pPr>
              <w:suppressAutoHyphens/>
              <w:snapToGrid w:val="0"/>
              <w:spacing w:after="0" w:line="240" w:lineRule="auto"/>
              <w:rPr>
                <w:rFonts w:ascii="Arial" w:hAnsi="Arial" w:eastAsia="Times New Roman" w:cs="Arial"/>
                <w:b/>
                <w:sz w:val="20"/>
                <w:lang w:eastAsia="hi-IN" w:bidi="hi-IN"/>
              </w:rPr>
            </w:pPr>
          </w:p>
        </w:tc>
        <w:tc>
          <w:tcPr>
            <w:tcW w:w="829"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Inicio</w:t>
            </w:r>
          </w:p>
        </w:tc>
        <w:tc>
          <w:tcPr>
            <w:tcW w:w="120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Terminación</w:t>
            </w:r>
          </w:p>
        </w:tc>
        <w:tc>
          <w:tcPr>
            <w:tcW w:w="1066" w:type="dxa"/>
            <w:tcBorders>
              <w:left w:val="single" w:color="000000" w:sz="4" w:space="0"/>
              <w:bottom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lang w:eastAsia="hi-IN" w:bidi="hi-IN"/>
              </w:rPr>
            </w:pPr>
          </w:p>
        </w:tc>
        <w:tc>
          <w:tcPr>
            <w:tcW w:w="2028" w:type="dxa"/>
            <w:tcBorders>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1</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2</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3</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4</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304" w:hRule="atLeast"/>
          <w:jc w:val="center"/>
        </w:trPr>
        <w:tc>
          <w:tcPr>
            <w:tcW w:w="38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5</w:t>
            </w:r>
          </w:p>
        </w:tc>
        <w:tc>
          <w:tcPr>
            <w:tcW w:w="137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304" w:hRule="atLeast"/>
          <w:jc w:val="center"/>
        </w:trPr>
        <w:tc>
          <w:tcPr>
            <w:tcW w:w="38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pacing w:val="-2"/>
                <w:sz w:val="20"/>
                <w:lang w:eastAsia="hi-IN" w:bidi="hi-IN"/>
              </w:rPr>
            </w:pPr>
            <w:r>
              <w:rPr>
                <w:rFonts w:ascii="Arial" w:hAnsi="Arial" w:eastAsia="Times New Roman" w:cs="Arial"/>
                <w:spacing w:val="-2"/>
                <w:sz w:val="20"/>
                <w:lang w:eastAsia="hi-IN" w:bidi="hi-IN"/>
              </w:rPr>
              <w:t xml:space="preserve"> 6</w:t>
            </w:r>
          </w:p>
        </w:tc>
        <w:tc>
          <w:tcPr>
            <w:tcW w:w="137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pacing w:val="-2"/>
                <w:sz w:val="20"/>
                <w:lang w:eastAsia="hi-IN" w:bidi="hi-IN"/>
              </w:rPr>
            </w:pPr>
          </w:p>
        </w:tc>
        <w:tc>
          <w:tcPr>
            <w:tcW w:w="18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bl>
    <w:p>
      <w:pPr>
        <w:suppressAutoHyphens/>
        <w:spacing w:after="0" w:line="240" w:lineRule="auto"/>
        <w:ind w:left="15" w:right="45"/>
        <w:rPr>
          <w:rFonts w:ascii="Arial" w:hAnsi="Arial" w:eastAsia="Times New Roman" w:cs="Arial"/>
          <w:sz w:val="20"/>
          <w:lang w:eastAsia="hi-IN" w:bidi="hi-IN"/>
        </w:rPr>
      </w:pPr>
    </w:p>
    <w:p>
      <w:pPr>
        <w:rPr>
          <w:rFonts w:ascii="Arial" w:hAnsi="Arial" w:eastAsia="Times New Roman" w:cs="Arial"/>
          <w:b/>
          <w:sz w:val="18"/>
          <w:lang w:eastAsia="hi-IN" w:bidi="hi-IN"/>
        </w:rPr>
      </w:pPr>
      <w:r>
        <w:rPr>
          <w:rFonts w:ascii="Arial" w:hAnsi="Arial" w:eastAsia="Times New Roman" w:cs="Arial"/>
          <w:b/>
          <w:sz w:val="18"/>
          <w:lang w:eastAsia="hi-IN" w:bidi="hi-IN"/>
        </w:rPr>
        <w:br w:type="page"/>
      </w:r>
    </w:p>
    <w:p>
      <w:pPr>
        <w:spacing w:after="0" w:line="240" w:lineRule="auto"/>
        <w:rPr>
          <w:rFonts w:ascii="Arial" w:hAnsi="Arial" w:eastAsia="Times New Roman" w:cs="Arial"/>
          <w:b/>
          <w:sz w:val="18"/>
          <w:lang w:eastAsia="hi-IN" w:bidi="hi-IN"/>
        </w:rPr>
      </w:pPr>
    </w:p>
    <w:p>
      <w:pPr>
        <w:spacing w:after="0" w:line="240" w:lineRule="auto"/>
        <w:rPr>
          <w:rFonts w:ascii="Arial" w:hAnsi="Arial" w:eastAsia="Times New Roman" w:cs="Arial"/>
          <w:b/>
          <w:sz w:val="18"/>
          <w:lang w:eastAsia="hi-IN" w:bidi="hi-IN"/>
        </w:rPr>
      </w:pPr>
      <w:r>
        <w:rPr>
          <w:rFonts w:ascii="Arial" w:hAnsi="Arial" w:eastAsia="Times New Roman" w:cs="Arial"/>
          <w:b/>
          <w:sz w:val="18"/>
          <w:lang w:eastAsia="hi-IN" w:bidi="hi-IN"/>
        </w:rPr>
        <w:t>1.9</w:t>
      </w:r>
      <w:r>
        <w:rPr>
          <w:rFonts w:ascii="Arial" w:hAnsi="Arial" w:eastAsia="Times New Roman" w:cs="Arial"/>
          <w:b/>
          <w:sz w:val="18"/>
          <w:lang w:eastAsia="hi-IN" w:bidi="hi-IN"/>
        </w:rPr>
        <w:tab/>
      </w:r>
      <w:r>
        <w:rPr>
          <w:rFonts w:ascii="Arial" w:hAnsi="Arial" w:eastAsia="Times New Roman" w:cs="Arial"/>
          <w:b/>
          <w:sz w:val="18"/>
          <w:lang w:eastAsia="hi-IN" w:bidi="hi-IN"/>
        </w:rPr>
        <w:t>PERSONAL TÉCNICO PROPUESTO PARA EL PROYECTO</w:t>
      </w:r>
    </w:p>
    <w:p>
      <w:pPr>
        <w:suppressAutoHyphens/>
        <w:spacing w:after="0" w:line="240" w:lineRule="auto"/>
        <w:ind w:left="15" w:right="45"/>
        <w:jc w:val="both"/>
        <w:rPr>
          <w:rFonts w:ascii="Arial" w:hAnsi="Arial" w:eastAsia="Times New Roman" w:cs="Arial"/>
          <w:b/>
          <w:spacing w:val="-2"/>
          <w:sz w:val="18"/>
          <w:lang w:eastAsia="hi-IN" w:bidi="hi-IN"/>
        </w:rPr>
      </w:pPr>
    </w:p>
    <w:tbl>
      <w:tblPr>
        <w:tblStyle w:val="46"/>
        <w:tblW w:w="9931" w:type="dxa"/>
        <w:jc w:val="center"/>
        <w:tblInd w:w="0" w:type="dxa"/>
        <w:tblLayout w:type="fixed"/>
        <w:tblCellMar>
          <w:top w:w="0" w:type="dxa"/>
          <w:left w:w="0" w:type="dxa"/>
          <w:bottom w:w="0" w:type="dxa"/>
          <w:right w:w="0" w:type="dxa"/>
        </w:tblCellMar>
      </w:tblPr>
      <w:tblGrid>
        <w:gridCol w:w="572"/>
        <w:gridCol w:w="1732"/>
        <w:gridCol w:w="1245"/>
        <w:gridCol w:w="1417"/>
        <w:gridCol w:w="851"/>
        <w:gridCol w:w="992"/>
        <w:gridCol w:w="1559"/>
        <w:gridCol w:w="1563"/>
      </w:tblGrid>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No.</w:t>
            </w:r>
          </w:p>
        </w:tc>
        <w:tc>
          <w:tcPr>
            <w:tcW w:w="173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Nombre completo</w:t>
            </w:r>
          </w:p>
        </w:tc>
        <w:tc>
          <w:tcPr>
            <w:tcW w:w="124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Titulación Académica</w:t>
            </w:r>
          </w:p>
        </w:tc>
        <w:tc>
          <w:tcPr>
            <w:tcW w:w="141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Nacionalidad</w:t>
            </w:r>
          </w:p>
        </w:tc>
        <w:tc>
          <w:tcPr>
            <w:tcW w:w="851"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Fecha grado</w:t>
            </w:r>
          </w:p>
        </w:tc>
        <w:tc>
          <w:tcPr>
            <w:tcW w:w="99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Función</w:t>
            </w:r>
          </w:p>
        </w:tc>
        <w:tc>
          <w:tcPr>
            <w:tcW w:w="1559"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Tiempo</w:t>
            </w: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Participación</w:t>
            </w:r>
          </w:p>
        </w:tc>
        <w:tc>
          <w:tcPr>
            <w:tcW w:w="15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Observaciones</w:t>
            </w: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34"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61"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bl>
    <w:p>
      <w:pPr>
        <w:suppressAutoHyphens/>
        <w:spacing w:after="0" w:line="240" w:lineRule="auto"/>
        <w:ind w:left="15" w:right="45"/>
        <w:rPr>
          <w:rFonts w:ascii="Arial" w:hAnsi="Arial" w:eastAsia="Times New Roman" w:cs="Arial"/>
          <w:sz w:val="18"/>
          <w:lang w:eastAsia="hi-IN" w:bidi="hi-IN"/>
        </w:rPr>
      </w:pPr>
    </w:p>
    <w:p>
      <w:pPr>
        <w:suppressAutoHyphens/>
        <w:spacing w:after="0" w:line="240" w:lineRule="auto"/>
        <w:ind w:left="15" w:right="45"/>
        <w:jc w:val="both"/>
        <w:rPr>
          <w:rFonts w:ascii="Arial" w:hAnsi="Arial" w:eastAsia="Times New Roman" w:cs="Arial"/>
          <w:sz w:val="18"/>
          <w:lang w:eastAsia="hi-IN" w:bidi="hi-IN"/>
        </w:rPr>
      </w:pPr>
      <w:r>
        <w:rPr>
          <w:rFonts w:ascii="Arial" w:hAnsi="Arial" w:eastAsia="Times New Roman" w:cs="Arial"/>
          <w:sz w:val="18"/>
          <w:lang w:eastAsia="hi-IN" w:bidi="hi-IN"/>
        </w:rPr>
        <w:t xml:space="preserve">NOTA: De acuerdo con el artículo 24 de la Ley de Ejercicio Profesional de la ingeniería, se deberá cumplir con lo siguiente: </w:t>
      </w:r>
    </w:p>
    <w:p>
      <w:pPr>
        <w:suppressAutoHyphens/>
        <w:spacing w:after="0" w:line="240" w:lineRule="auto"/>
        <w:ind w:left="15" w:right="45"/>
        <w:jc w:val="both"/>
        <w:rPr>
          <w:rFonts w:ascii="Arial" w:hAnsi="Arial" w:eastAsia="Times New Roman" w:cs="Arial"/>
          <w:sz w:val="18"/>
          <w:lang w:eastAsia="hi-IN" w:bidi="hi-IN"/>
        </w:rPr>
      </w:pPr>
    </w:p>
    <w:p>
      <w:pPr>
        <w:suppressAutoHyphens/>
        <w:spacing w:after="0" w:line="240" w:lineRule="auto"/>
        <w:ind w:left="15" w:right="45"/>
        <w:rPr>
          <w:rFonts w:ascii="Arial" w:hAnsi="Arial" w:eastAsia="Times New Roman" w:cs="Arial"/>
          <w:spacing w:val="-2"/>
          <w:sz w:val="18"/>
          <w:lang w:eastAsia="hi-IN" w:bidi="hi-IN"/>
        </w:rPr>
      </w:pPr>
    </w:p>
    <w:p>
      <w:pPr>
        <w:pStyle w:val="57"/>
        <w:numPr>
          <w:ilvl w:val="0"/>
          <w:numId w:val="17"/>
        </w:numPr>
        <w:ind w:right="45"/>
        <w:jc w:val="both"/>
        <w:rPr>
          <w:rFonts w:ascii="Arial" w:hAnsi="Arial" w:cs="Arial"/>
          <w:sz w:val="20"/>
          <w:szCs w:val="22"/>
        </w:rPr>
      </w:pPr>
      <w:r>
        <w:rPr>
          <w:rFonts w:ascii="Arial" w:hAnsi="Arial" w:cs="Arial"/>
          <w:sz w:val="20"/>
          <w:szCs w:val="22"/>
        </w:rPr>
        <w:t xml:space="preserve">Las empresas nacionales o extranjeras, para realizar trabajos de ingeniería en el Ecuador, deberán contar con los servicios de un ingeniero ecuatoriano en ejercicio legal de su profesión, en calidad de representante técnico afín a la naturaleza del trabajo que se realice. </w:t>
      </w:r>
    </w:p>
    <w:p>
      <w:pPr>
        <w:pStyle w:val="57"/>
        <w:ind w:left="735" w:right="45"/>
        <w:jc w:val="both"/>
        <w:rPr>
          <w:rFonts w:ascii="Arial" w:hAnsi="Arial" w:cs="Arial"/>
          <w:sz w:val="20"/>
          <w:szCs w:val="22"/>
        </w:rPr>
      </w:pPr>
    </w:p>
    <w:p>
      <w:pPr>
        <w:suppressAutoHyphens/>
        <w:spacing w:after="0" w:line="240" w:lineRule="auto"/>
        <w:ind w:left="15" w:right="45"/>
        <w:rPr>
          <w:rFonts w:ascii="Arial" w:hAnsi="Arial" w:eastAsia="Times New Roman" w:cs="Arial"/>
          <w:spacing w:val="-2"/>
          <w:sz w:val="18"/>
          <w:lang w:eastAsia="hi-IN" w:bidi="hi-IN"/>
        </w:rPr>
      </w:pPr>
    </w:p>
    <w:p>
      <w:pPr>
        <w:spacing w:after="0" w:line="240" w:lineRule="auto"/>
        <w:rPr>
          <w:rFonts w:ascii="Arial" w:hAnsi="Arial" w:eastAsia="Times New Roman" w:cs="Arial"/>
          <w:b/>
          <w:sz w:val="18"/>
          <w:lang w:eastAsia="hi-IN" w:bidi="hi-IN"/>
        </w:rPr>
      </w:pPr>
      <w:r>
        <w:rPr>
          <w:rFonts w:ascii="Arial" w:hAnsi="Arial" w:eastAsia="Times New Roman" w:cs="Arial"/>
          <w:b/>
          <w:sz w:val="18"/>
          <w:lang w:eastAsia="hi-IN" w:bidi="hi-IN"/>
        </w:rPr>
        <w:br w:type="page"/>
      </w:r>
      <w:r>
        <w:rPr>
          <w:rFonts w:ascii="Arial" w:hAnsi="Arial" w:eastAsia="Times New Roman" w:cs="Arial"/>
          <w:b/>
          <w:sz w:val="18"/>
          <w:lang w:eastAsia="hi-IN" w:bidi="hi-IN"/>
        </w:rPr>
        <w:t>1.10</w:t>
      </w:r>
      <w:r>
        <w:rPr>
          <w:rFonts w:ascii="Arial" w:hAnsi="Arial" w:eastAsia="Times New Roman" w:cs="Arial"/>
          <w:b/>
          <w:sz w:val="18"/>
          <w:lang w:eastAsia="hi-IN" w:bidi="hi-IN"/>
        </w:rPr>
        <w:tab/>
      </w:r>
      <w:r>
        <w:rPr>
          <w:rFonts w:ascii="Arial" w:hAnsi="Arial" w:eastAsia="Times New Roman" w:cs="Arial"/>
          <w:b/>
          <w:sz w:val="18"/>
          <w:lang w:eastAsia="hi-IN" w:bidi="hi-IN"/>
        </w:rPr>
        <w:t>EQUIPO ASIGNADO AL PROYECTO</w:t>
      </w:r>
    </w:p>
    <w:p>
      <w:pPr>
        <w:suppressAutoHyphens/>
        <w:spacing w:after="0" w:line="240" w:lineRule="auto"/>
        <w:ind w:left="15" w:right="45"/>
        <w:rPr>
          <w:rFonts w:ascii="Arial" w:hAnsi="Arial" w:eastAsia="Times New Roman" w:cs="Arial"/>
          <w:b/>
          <w:spacing w:val="-2"/>
          <w:sz w:val="20"/>
          <w:lang w:eastAsia="hi-IN" w:bidi="hi-IN"/>
        </w:rPr>
      </w:pPr>
    </w:p>
    <w:tbl>
      <w:tblPr>
        <w:tblStyle w:val="46"/>
        <w:tblW w:w="9787" w:type="dxa"/>
        <w:tblInd w:w="-269" w:type="dxa"/>
        <w:tblLayout w:type="fixed"/>
        <w:tblCellMar>
          <w:top w:w="0" w:type="dxa"/>
          <w:left w:w="0" w:type="dxa"/>
          <w:bottom w:w="0" w:type="dxa"/>
          <w:right w:w="0" w:type="dxa"/>
        </w:tblCellMar>
      </w:tblPr>
      <w:tblGrid>
        <w:gridCol w:w="633"/>
        <w:gridCol w:w="1948"/>
        <w:gridCol w:w="1420"/>
        <w:gridCol w:w="1518"/>
        <w:gridCol w:w="1276"/>
        <w:gridCol w:w="1474"/>
        <w:gridCol w:w="1518"/>
      </w:tblGrid>
      <w:tr>
        <w:tblPrEx>
          <w:tblLayout w:type="fixed"/>
          <w:tblCellMar>
            <w:top w:w="0" w:type="dxa"/>
            <w:left w:w="0" w:type="dxa"/>
            <w:bottom w:w="0" w:type="dxa"/>
            <w:right w:w="0" w:type="dxa"/>
          </w:tblCellMar>
        </w:tblPrEx>
        <w:trPr>
          <w:trHeight w:val="215" w:hRule="atLeast"/>
        </w:trPr>
        <w:tc>
          <w:tcPr>
            <w:tcW w:w="633"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w:t>
            </w:r>
          </w:p>
        </w:tc>
        <w:tc>
          <w:tcPr>
            <w:tcW w:w="1948"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Nombre del equipo</w:t>
            </w:r>
          </w:p>
        </w:tc>
        <w:tc>
          <w:tcPr>
            <w:tcW w:w="1420"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Cantidad</w:t>
            </w:r>
          </w:p>
        </w:tc>
        <w:tc>
          <w:tcPr>
            <w:tcW w:w="1518"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Característica</w:t>
            </w:r>
          </w:p>
        </w:tc>
        <w:tc>
          <w:tcPr>
            <w:tcW w:w="1276" w:type="dxa"/>
            <w:tcBorders>
              <w:top w:val="single" w:color="000000" w:sz="4" w:space="0"/>
              <w:left w:val="single" w:color="000000" w:sz="4" w:space="0"/>
            </w:tcBorders>
            <w:shd w:val="clear" w:color="auto" w:fill="D9D9D9"/>
            <w:vAlign w:val="center"/>
          </w:tcPr>
          <w:p>
            <w:pPr>
              <w:suppressAutoHyphens/>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Año de Fabricación</w:t>
            </w:r>
          </w:p>
        </w:tc>
        <w:tc>
          <w:tcPr>
            <w:tcW w:w="1474" w:type="dxa"/>
            <w:tcBorders>
              <w:top w:val="single" w:color="000000" w:sz="4" w:space="0"/>
              <w:left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Relación de Propiedad</w:t>
            </w:r>
          </w:p>
        </w:tc>
        <w:tc>
          <w:tcPr>
            <w:tcW w:w="1518" w:type="dxa"/>
            <w:tcBorders>
              <w:top w:val="single" w:color="000000" w:sz="4" w:space="0"/>
              <w:left w:val="single" w:color="000000" w:sz="4" w:space="0"/>
              <w:right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 Matrícula</w:t>
            </w: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67" w:hRule="atLeast"/>
        </w:trPr>
        <w:tc>
          <w:tcPr>
            <w:tcW w:w="633"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bl>
    <w:p>
      <w:pPr>
        <w:suppressAutoHyphens/>
        <w:spacing w:after="0" w:line="240" w:lineRule="auto"/>
        <w:ind w:left="15" w:right="45"/>
        <w:rPr>
          <w:rFonts w:ascii="Arial" w:hAnsi="Arial" w:eastAsia="Times New Roman" w:cs="Arial"/>
          <w:sz w:val="20"/>
          <w:lang w:eastAsia="hi-IN" w:bidi="hi-IN"/>
        </w:rPr>
      </w:pPr>
    </w:p>
    <w:p>
      <w:pPr>
        <w:suppressAutoHyphens/>
        <w:spacing w:after="0" w:line="240" w:lineRule="auto"/>
        <w:ind w:right="45"/>
        <w:jc w:val="center"/>
        <w:textAlignment w:val="baseline"/>
        <w:rPr>
          <w:rFonts w:ascii="Arial" w:hAnsi="Arial" w:eastAsia="Times New Roman" w:cs="Arial"/>
          <w:sz w:val="20"/>
          <w:lang w:eastAsia="hi-IN" w:bidi="hi-IN"/>
        </w:rPr>
      </w:pPr>
      <w:r>
        <w:rPr>
          <w:rFonts w:ascii="Arial" w:hAnsi="Arial" w:eastAsia="Times New Roman" w:cs="Arial"/>
          <w:sz w:val="20"/>
          <w:lang w:eastAsia="hi-IN" w:bidi="hi-IN"/>
        </w:rPr>
        <w:t>** La columna con información de matrícula deberá ser completada exclusivamente tratándose de vehículos y equipo caminero.</w:t>
      </w:r>
    </w:p>
    <w:p>
      <w:pPr>
        <w:rPr>
          <w:rFonts w:ascii="Arial" w:hAnsi="Arial" w:eastAsia="Times New Roman" w:cs="Arial"/>
          <w:sz w:val="20"/>
          <w:lang w:eastAsia="hi-IN" w:bidi="hi-IN"/>
        </w:rPr>
      </w:pPr>
      <w:r>
        <w:rPr>
          <w:rFonts w:ascii="Arial" w:hAnsi="Arial" w:eastAsia="Times New Roman" w:cs="Arial"/>
          <w:sz w:val="20"/>
          <w:lang w:eastAsia="hi-IN" w:bidi="hi-IN"/>
        </w:rPr>
        <w:br w:type="page"/>
      </w:r>
    </w:p>
    <w:p>
      <w:pPr>
        <w:suppressAutoHyphens/>
        <w:spacing w:after="0" w:line="240" w:lineRule="auto"/>
        <w:ind w:right="45"/>
        <w:jc w:val="center"/>
        <w:textAlignment w:val="baseline"/>
        <w:rPr>
          <w:rFonts w:ascii="Arial" w:hAnsi="Arial" w:eastAsia="Times New Roman" w:cs="Arial"/>
          <w:sz w:val="20"/>
          <w:lang w:eastAsia="hi-IN" w:bidi="hi-IN"/>
        </w:rPr>
      </w:pPr>
    </w:p>
    <w:p>
      <w:pPr>
        <w:pBdr>
          <w:top w:val="single" w:color="auto" w:sz="4" w:space="1"/>
          <w:left w:val="single" w:color="auto" w:sz="4" w:space="4"/>
          <w:bottom w:val="single" w:color="auto" w:sz="4" w:space="1"/>
          <w:right w:val="single" w:color="auto" w:sz="4" w:space="4"/>
        </w:pBdr>
        <w:shd w:val="clear" w:color="auto" w:fill="F2F2F2"/>
        <w:tabs>
          <w:tab w:val="center" w:pos="4680"/>
        </w:tabs>
        <w:suppressAutoHyphens/>
        <w:spacing w:after="0" w:line="240" w:lineRule="auto"/>
        <w:jc w:val="center"/>
        <w:rPr>
          <w:rFonts w:ascii="Arial" w:hAnsi="Arial" w:eastAsia="Times New Roman" w:cs="Arial"/>
          <w:b/>
          <w:bCs/>
          <w:szCs w:val="20"/>
          <w:lang w:eastAsia="hi-IN" w:bidi="hi-IN"/>
        </w:rPr>
      </w:pPr>
      <w:r>
        <w:rPr>
          <w:rFonts w:ascii="Arial" w:hAnsi="Arial" w:eastAsia="Times New Roman" w:cs="Arial"/>
          <w:b/>
          <w:bCs/>
          <w:szCs w:val="20"/>
          <w:lang w:eastAsia="hi-IN" w:bidi="hi-IN"/>
        </w:rPr>
        <w:t>SECCIÓN X.  FORMULARIO DE COMPROMISO DE PARTICIPACION DEL PERSONAL TECNICO Y HOJA DE VIDA</w:t>
      </w:r>
    </w:p>
    <w:p>
      <w:pPr>
        <w:tabs>
          <w:tab w:val="center" w:pos="4680"/>
        </w:tabs>
        <w:suppressAutoHyphens/>
        <w:spacing w:after="0" w:line="240" w:lineRule="auto"/>
        <w:rPr>
          <w:rFonts w:ascii="Arial" w:hAnsi="Arial" w:eastAsia="Times New Roman" w:cs="Arial"/>
          <w:b/>
          <w:bCs/>
          <w:szCs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2.1   COMPROMISO DEL PROFESIONAL ASIGNADO AL PROYECTO</w:t>
      </w: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jc w:val="right"/>
        <w:rPr>
          <w:rFonts w:ascii="Arial" w:hAnsi="Arial" w:eastAsia="Times New Roman" w:cs="Arial"/>
          <w:bCs/>
          <w:sz w:val="20"/>
          <w:lang w:eastAsia="hi-IN" w:bidi="hi-IN"/>
        </w:rPr>
      </w:pPr>
      <w:r>
        <w:rPr>
          <w:rFonts w:ascii="Arial" w:hAnsi="Arial" w:eastAsia="Times New Roman" w:cs="Arial"/>
          <w:bCs/>
          <w:sz w:val="20"/>
          <w:lang w:eastAsia="hi-IN" w:bidi="hi-IN"/>
        </w:rPr>
        <w:t>Hoja ____ de ___</w:t>
      </w: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Yo, ……………………………….. </w:t>
      </w:r>
      <w:r>
        <w:rPr>
          <w:rFonts w:ascii="Arial" w:hAnsi="Arial" w:eastAsia="Times New Roman" w:cs="Arial"/>
          <w:i/>
          <w:iCs/>
          <w:sz w:val="20"/>
          <w:lang w:eastAsia="hi-IN" w:bidi="hi-IN"/>
        </w:rPr>
        <w:t>(nombre del profesional)</w:t>
      </w:r>
      <w:r>
        <w:rPr>
          <w:rFonts w:ascii="Arial" w:hAnsi="Arial" w:eastAsia="Times New Roman" w:cs="Arial"/>
          <w:sz w:val="20"/>
          <w:lang w:eastAsia="hi-IN" w:bidi="hi-IN"/>
        </w:rPr>
        <w:t xml:space="preserve">, me comprometo con ……………………………. </w:t>
      </w:r>
      <w:r>
        <w:rPr>
          <w:rFonts w:ascii="Arial" w:hAnsi="Arial" w:eastAsia="Times New Roman" w:cs="Arial"/>
          <w:i/>
          <w:iCs/>
          <w:sz w:val="20"/>
          <w:lang w:eastAsia="hi-IN" w:bidi="hi-IN"/>
        </w:rPr>
        <w:t xml:space="preserve">(nombre del oferente) </w:t>
      </w:r>
      <w:r>
        <w:rPr>
          <w:rFonts w:ascii="Arial" w:hAnsi="Arial" w:eastAsia="Times New Roman" w:cs="Arial"/>
          <w:sz w:val="20"/>
          <w:lang w:eastAsia="hi-IN" w:bidi="hi-IN"/>
        </w:rPr>
        <w:t xml:space="preserve">a prestar mis servicios en calidad de ……………… </w:t>
      </w:r>
      <w:r>
        <w:rPr>
          <w:rFonts w:ascii="Arial" w:hAnsi="Arial" w:eastAsia="Times New Roman" w:cs="Arial"/>
          <w:i/>
          <w:iCs/>
          <w:sz w:val="20"/>
          <w:lang w:eastAsia="hi-IN" w:bidi="hi-IN"/>
        </w:rPr>
        <w:t>(título profesional)</w:t>
      </w:r>
      <w:r>
        <w:rPr>
          <w:rFonts w:ascii="Arial" w:hAnsi="Arial" w:eastAsia="Times New Roman" w:cs="Arial"/>
          <w:sz w:val="20"/>
          <w:lang w:eastAsia="hi-IN" w:bidi="hi-IN"/>
        </w:rPr>
        <w:t xml:space="preserve">, para …………………… </w:t>
      </w:r>
      <w:r>
        <w:rPr>
          <w:rFonts w:ascii="Arial" w:hAnsi="Arial" w:eastAsia="Times New Roman" w:cs="Arial"/>
          <w:i/>
          <w:iCs/>
          <w:sz w:val="20"/>
          <w:lang w:eastAsia="hi-IN" w:bidi="hi-IN"/>
        </w:rPr>
        <w:t>(cargo asignado)</w:t>
      </w:r>
      <w:r>
        <w:rPr>
          <w:rFonts w:ascii="Arial" w:hAnsi="Arial" w:eastAsia="Times New Roman" w:cs="Arial"/>
          <w:sz w:val="20"/>
          <w:lang w:eastAsia="hi-IN" w:bidi="hi-IN"/>
        </w:rPr>
        <w:t xml:space="preserve"> durante la realización del proyecto, en caso de que ………………….. </w:t>
      </w:r>
      <w:r>
        <w:rPr>
          <w:rFonts w:ascii="Arial" w:hAnsi="Arial" w:eastAsia="Times New Roman" w:cs="Arial"/>
          <w:i/>
          <w:iCs/>
          <w:sz w:val="20"/>
          <w:lang w:eastAsia="hi-IN" w:bidi="hi-IN"/>
        </w:rPr>
        <w:t>(nombre del oferente)</w:t>
      </w:r>
      <w:r>
        <w:rPr>
          <w:rFonts w:ascii="Arial" w:hAnsi="Arial" w:eastAsia="Times New Roman" w:cs="Arial"/>
          <w:sz w:val="20"/>
          <w:lang w:eastAsia="hi-IN" w:bidi="hi-IN"/>
        </w:rPr>
        <w:t xml:space="preserve"> resultare adjudicatario, adjuntando para el efecto al presente compromiso, mi hoja de vida correspondiente, numeral 2.2 de este formulario.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________________________</w:t>
      </w: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Lugar y Fecha</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__________________________</w:t>
      </w:r>
    </w:p>
    <w:p>
      <w:pPr>
        <w:tabs>
          <w:tab w:val="center" w:pos="4680"/>
        </w:tabs>
        <w:suppressAutoHyphens/>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(Firma, Nombre y Número CC)</w:t>
      </w:r>
    </w:p>
    <w:p>
      <w:pPr>
        <w:tabs>
          <w:tab w:val="center" w:pos="4680"/>
        </w:tabs>
        <w:suppressAutoHyphens/>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(Profesional Asignado al Proyecto)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Notas:</w:t>
      </w:r>
    </w:p>
    <w:p>
      <w:pPr>
        <w:suppressAutoHyphens/>
        <w:spacing w:after="0" w:line="240" w:lineRule="auto"/>
        <w:jc w:val="both"/>
        <w:rPr>
          <w:rFonts w:ascii="Arial" w:hAnsi="Arial" w:eastAsia="Times New Roman" w:cs="Arial"/>
          <w:sz w:val="20"/>
          <w:lang w:eastAsia="hi-IN" w:bidi="hi-IN"/>
        </w:rPr>
      </w:pPr>
    </w:p>
    <w:p>
      <w:pPr>
        <w:numPr>
          <w:ilvl w:val="0"/>
          <w:numId w:val="18"/>
        </w:numPr>
        <w:suppressAutoHyphens/>
        <w:spacing w:after="0" w:line="240" w:lineRule="auto"/>
        <w:contextualSpacing/>
        <w:jc w:val="both"/>
        <w:rPr>
          <w:rFonts w:ascii="Arial" w:hAnsi="Arial" w:eastAsia="Times New Roman" w:cs="Arial"/>
          <w:i/>
          <w:sz w:val="20"/>
          <w:lang w:eastAsia="hi-IN" w:bidi="hi-IN"/>
        </w:rPr>
      </w:pPr>
      <w:r>
        <w:rPr>
          <w:rFonts w:ascii="Arial" w:hAnsi="Arial" w:eastAsia="Times New Roman" w:cs="Arial"/>
          <w:i/>
          <w:sz w:val="20"/>
          <w:lang w:eastAsia="hi-IN" w:bidi="hi-IN"/>
        </w:rPr>
        <w:t>Este formulario deberá estar firmado por el profesional para ser considerado en el proyecto, exclusivamente.</w:t>
      </w:r>
    </w:p>
    <w:p>
      <w:pPr>
        <w:ind w:left="720"/>
        <w:contextualSpacing/>
        <w:jc w:val="both"/>
        <w:rPr>
          <w:rFonts w:ascii="Arial" w:hAnsi="Arial" w:eastAsia="Times New Roman" w:cs="Arial"/>
          <w:i/>
          <w:sz w:val="20"/>
          <w:lang w:eastAsia="hi-IN" w:bidi="hi-IN"/>
        </w:rPr>
      </w:pPr>
    </w:p>
    <w:p>
      <w:pPr>
        <w:numPr>
          <w:ilvl w:val="0"/>
          <w:numId w:val="18"/>
        </w:numPr>
        <w:suppressAutoHyphens/>
        <w:spacing w:after="0" w:line="240" w:lineRule="auto"/>
        <w:contextualSpacing/>
        <w:jc w:val="both"/>
        <w:rPr>
          <w:rFonts w:ascii="Arial" w:hAnsi="Arial" w:eastAsia="Times New Roman" w:cs="Arial"/>
          <w:i/>
          <w:sz w:val="20"/>
          <w:lang w:eastAsia="hi-IN" w:bidi="hi-IN"/>
        </w:rPr>
      </w:pPr>
      <w:r>
        <w:rPr>
          <w:rFonts w:ascii="Arial" w:hAnsi="Arial" w:eastAsia="Times New Roman" w:cs="Arial"/>
          <w:i/>
          <w:sz w:val="20"/>
          <w:lang w:eastAsia="hi-IN" w:bidi="hi-IN"/>
        </w:rPr>
        <w:t>Incluir información de cada experiencia profesional en el formato detallado en el numeral 2.2 de este formulario.</w:t>
      </w:r>
    </w:p>
    <w:p>
      <w:pPr>
        <w:suppressAutoHyphens/>
        <w:spacing w:after="0" w:line="240" w:lineRule="auto"/>
        <w:rPr>
          <w:rFonts w:ascii="Arial" w:hAnsi="Arial" w:eastAsia="Times New Roman" w:cs="Arial"/>
          <w:b/>
          <w:bCs/>
          <w:sz w:val="20"/>
          <w:lang w:eastAsia="hi-IN" w:bidi="hi-IN"/>
        </w:rPr>
      </w:pPr>
      <w:r>
        <w:rPr>
          <w:rFonts w:ascii="Arial" w:hAnsi="Arial" w:eastAsia="Times New Roman" w:cs="Arial"/>
          <w:i/>
          <w:sz w:val="18"/>
          <w:lang w:eastAsia="hi-IN" w:bidi="hi-IN"/>
        </w:rPr>
        <w:br w:type="page"/>
      </w:r>
      <w:r>
        <w:rPr>
          <w:rFonts w:ascii="Arial" w:hAnsi="Arial" w:eastAsia="Times New Roman" w:cs="Arial"/>
          <w:b/>
          <w:bCs/>
          <w:sz w:val="20"/>
          <w:lang w:eastAsia="hi-IN" w:bidi="hi-IN"/>
        </w:rPr>
        <w:t>2.2  HOJA DE VIDA DEL PERSONAL TÉCNICO CLAVE ASIGNADO AL PROYECTO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right"/>
        <w:rPr>
          <w:rFonts w:ascii="Arial" w:hAnsi="Arial" w:eastAsia="Times New Roman" w:cs="Arial"/>
          <w:sz w:val="20"/>
          <w:lang w:eastAsia="hi-IN" w:bidi="hi-IN"/>
        </w:rPr>
      </w:pPr>
      <w:r>
        <w:rPr>
          <w:rFonts w:ascii="Arial" w:hAnsi="Arial" w:eastAsia="Times New Roman" w:cs="Arial"/>
          <w:sz w:val="20"/>
          <w:lang w:eastAsia="hi-IN" w:bidi="hi-IN"/>
        </w:rPr>
        <w:t>Hoja ___ de ___</w:t>
      </w:r>
    </w:p>
    <w:p>
      <w:pPr>
        <w:suppressAutoHyphens/>
        <w:spacing w:after="0" w:line="240" w:lineRule="auto"/>
        <w:jc w:val="both"/>
        <w:rPr>
          <w:rFonts w:ascii="Arial" w:hAnsi="Arial" w:eastAsia="Times New Roman" w:cs="Arial"/>
          <w:sz w:val="20"/>
          <w:lang w:eastAsia="hi-IN" w:bidi="hi-IN"/>
        </w:rPr>
      </w:pP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1.</w:t>
      </w:r>
      <w:r>
        <w:rPr>
          <w:rFonts w:ascii="Arial" w:hAnsi="Arial" w:eastAsia="Times New Roman" w:cs="Arial"/>
          <w:sz w:val="20"/>
          <w:lang w:eastAsia="hi-IN" w:bidi="hi-IN"/>
        </w:rPr>
        <w:tab/>
      </w:r>
      <w:r>
        <w:rPr>
          <w:rFonts w:ascii="Arial" w:hAnsi="Arial" w:eastAsia="Times New Roman" w:cs="Arial"/>
          <w:sz w:val="20"/>
          <w:lang w:eastAsia="hi-IN" w:bidi="hi-IN"/>
        </w:rPr>
        <w:t>Nombres completos:</w:t>
      </w:r>
      <w:r>
        <w:rPr>
          <w:rFonts w:ascii="Arial" w:hAnsi="Arial" w:eastAsia="Times New Roman" w:cs="Arial"/>
          <w:sz w:val="20"/>
          <w:lang w:eastAsia="hi-IN" w:bidi="hi-IN"/>
        </w:rPr>
        <w:tab/>
      </w:r>
      <w:r>
        <w:rPr>
          <w:rFonts w:ascii="Arial" w:hAnsi="Arial" w:eastAsia="Times New Roman" w:cs="Arial"/>
          <w:sz w:val="20"/>
          <w:lang w:eastAsia="hi-IN" w:bidi="hi-IN"/>
        </w:rPr>
        <w:t>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2.</w:t>
      </w:r>
      <w:r>
        <w:rPr>
          <w:rFonts w:ascii="Arial" w:hAnsi="Arial" w:eastAsia="Times New Roman" w:cs="Arial"/>
          <w:sz w:val="20"/>
          <w:lang w:eastAsia="hi-IN" w:bidi="hi-IN"/>
        </w:rPr>
        <w:tab/>
      </w:r>
      <w:r>
        <w:rPr>
          <w:rFonts w:ascii="Arial" w:hAnsi="Arial" w:eastAsia="Times New Roman" w:cs="Arial"/>
          <w:sz w:val="20"/>
          <w:lang w:eastAsia="hi-IN" w:bidi="hi-IN"/>
        </w:rPr>
        <w:t>Lugar y fecha de nacimiento:</w:t>
      </w:r>
      <w:r>
        <w:rPr>
          <w:rFonts w:ascii="Arial" w:hAnsi="Arial" w:eastAsia="Times New Roman" w:cs="Arial"/>
          <w:sz w:val="20"/>
          <w:lang w:eastAsia="hi-IN" w:bidi="hi-IN"/>
        </w:rPr>
        <w:tab/>
      </w:r>
      <w:r>
        <w:rPr>
          <w:rFonts w:ascii="Arial" w:hAnsi="Arial" w:eastAsia="Times New Roman" w:cs="Arial"/>
          <w:sz w:val="20"/>
          <w:lang w:eastAsia="hi-IN" w:bidi="hi-IN"/>
        </w:rPr>
        <w:t xml:space="preserve">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3.</w:t>
      </w:r>
      <w:r>
        <w:rPr>
          <w:rFonts w:ascii="Arial" w:hAnsi="Arial" w:eastAsia="Times New Roman" w:cs="Arial"/>
          <w:sz w:val="20"/>
          <w:lang w:eastAsia="hi-IN" w:bidi="hi-IN"/>
        </w:rPr>
        <w:tab/>
      </w:r>
      <w:r>
        <w:rPr>
          <w:rFonts w:ascii="Arial" w:hAnsi="Arial" w:eastAsia="Times New Roman" w:cs="Arial"/>
          <w:sz w:val="20"/>
          <w:lang w:eastAsia="hi-IN" w:bidi="hi-IN"/>
        </w:rPr>
        <w:t xml:space="preserve">Nacionalidad: </w:t>
      </w:r>
      <w:r>
        <w:rPr>
          <w:rFonts w:ascii="Arial" w:hAnsi="Arial" w:eastAsia="Times New Roman" w:cs="Arial"/>
          <w:sz w:val="20"/>
          <w:lang w:eastAsia="hi-IN" w:bidi="hi-IN"/>
        </w:rPr>
        <w:tab/>
      </w:r>
      <w:r>
        <w:rPr>
          <w:rFonts w:ascii="Arial" w:hAnsi="Arial" w:eastAsia="Times New Roman" w:cs="Arial"/>
          <w:sz w:val="20"/>
          <w:lang w:eastAsia="hi-IN" w:bidi="hi-IN"/>
        </w:rPr>
        <w:t>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4.</w:t>
      </w:r>
      <w:r>
        <w:rPr>
          <w:rFonts w:ascii="Arial" w:hAnsi="Arial" w:eastAsia="Times New Roman" w:cs="Arial"/>
          <w:sz w:val="20"/>
          <w:lang w:eastAsia="hi-IN" w:bidi="hi-IN"/>
        </w:rPr>
        <w:tab/>
      </w:r>
      <w:r>
        <w:rPr>
          <w:rFonts w:ascii="Arial" w:hAnsi="Arial" w:eastAsia="Times New Roman" w:cs="Arial"/>
          <w:sz w:val="20"/>
          <w:lang w:eastAsia="hi-IN" w:bidi="hi-IN"/>
        </w:rPr>
        <w:t>Título profesional: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5.</w:t>
      </w:r>
      <w:r>
        <w:rPr>
          <w:rFonts w:ascii="Arial" w:hAnsi="Arial" w:eastAsia="Times New Roman" w:cs="Arial"/>
          <w:sz w:val="20"/>
          <w:lang w:eastAsia="hi-IN" w:bidi="hi-IN"/>
        </w:rPr>
        <w:tab/>
      </w:r>
      <w:r>
        <w:rPr>
          <w:rFonts w:ascii="Arial" w:hAnsi="Arial" w:eastAsia="Times New Roman" w:cs="Arial"/>
          <w:sz w:val="20"/>
          <w:lang w:eastAsia="hi-IN" w:bidi="hi-IN"/>
        </w:rPr>
        <w:t>Fecha de graduación: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6.</w:t>
      </w:r>
      <w:r>
        <w:rPr>
          <w:rFonts w:ascii="Arial" w:hAnsi="Arial" w:eastAsia="Times New Roman" w:cs="Arial"/>
          <w:sz w:val="20"/>
          <w:lang w:eastAsia="hi-IN" w:bidi="hi-IN"/>
        </w:rPr>
        <w:tab/>
      </w:r>
      <w:r>
        <w:rPr>
          <w:rFonts w:ascii="Arial" w:hAnsi="Arial" w:eastAsia="Times New Roman" w:cs="Arial"/>
          <w:sz w:val="20"/>
          <w:lang w:eastAsia="hi-IN" w:bidi="hi-IN"/>
        </w:rPr>
        <w:t>Título IV nivel:</w:t>
      </w:r>
      <w:r>
        <w:rPr>
          <w:rFonts w:ascii="Arial" w:hAnsi="Arial" w:eastAsia="Times New Roman" w:cs="Arial"/>
          <w:sz w:val="20"/>
          <w:lang w:eastAsia="hi-IN" w:bidi="hi-IN"/>
        </w:rPr>
        <w:tab/>
      </w:r>
      <w:r>
        <w:rPr>
          <w:rFonts w:ascii="Arial" w:hAnsi="Arial" w:eastAsia="Times New Roman" w:cs="Arial"/>
          <w:sz w:val="20"/>
          <w:lang w:eastAsia="hi-IN" w:bidi="hi-IN"/>
        </w:rPr>
        <w:t xml:space="preserve">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7.</w:t>
      </w:r>
      <w:r>
        <w:rPr>
          <w:rFonts w:ascii="Arial" w:hAnsi="Arial" w:eastAsia="Times New Roman" w:cs="Arial"/>
          <w:sz w:val="20"/>
          <w:lang w:eastAsia="hi-IN" w:bidi="hi-IN"/>
        </w:rPr>
        <w:tab/>
      </w:r>
      <w:r>
        <w:rPr>
          <w:rFonts w:ascii="Arial" w:hAnsi="Arial" w:eastAsia="Times New Roman" w:cs="Arial"/>
          <w:sz w:val="20"/>
          <w:lang w:eastAsia="hi-IN" w:bidi="hi-IN"/>
        </w:rPr>
        <w:t>Fecha de obtención: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6.</w:t>
      </w:r>
      <w:r>
        <w:rPr>
          <w:rFonts w:ascii="Arial" w:hAnsi="Arial" w:eastAsia="Times New Roman" w:cs="Arial"/>
          <w:sz w:val="20"/>
          <w:lang w:eastAsia="hi-IN" w:bidi="hi-IN"/>
        </w:rPr>
        <w:tab/>
      </w:r>
      <w:r>
        <w:rPr>
          <w:rFonts w:ascii="Arial" w:hAnsi="Arial" w:eastAsia="Times New Roman" w:cs="Arial"/>
          <w:sz w:val="20"/>
          <w:lang w:eastAsia="hi-IN" w:bidi="hi-IN"/>
        </w:rPr>
        <w:t>Experiencia profesional:</w:t>
      </w:r>
    </w:p>
    <w:p>
      <w:pPr>
        <w:suppressAutoHyphens/>
        <w:spacing w:after="0" w:line="240" w:lineRule="auto"/>
        <w:jc w:val="both"/>
        <w:rPr>
          <w:rFonts w:ascii="Arial" w:hAnsi="Arial" w:eastAsia="Times New Roman" w:cs="Arial"/>
          <w:sz w:val="20"/>
          <w:lang w:eastAsia="hi-IN" w:bidi="hi-IN"/>
        </w:rPr>
      </w:pPr>
    </w:p>
    <w:tbl>
      <w:tblPr>
        <w:tblStyle w:val="46"/>
        <w:tblW w:w="9572" w:type="dxa"/>
        <w:tblInd w:w="-108" w:type="dxa"/>
        <w:tblLayout w:type="fixed"/>
        <w:tblCellMar>
          <w:top w:w="0" w:type="dxa"/>
          <w:left w:w="10" w:type="dxa"/>
          <w:bottom w:w="0" w:type="dxa"/>
          <w:right w:w="10" w:type="dxa"/>
        </w:tblCellMar>
      </w:tblPr>
      <w:tblGrid>
        <w:gridCol w:w="3193"/>
        <w:gridCol w:w="6379"/>
      </w:tblGrid>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Empresa / Institución:</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Contratante:</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Proyecto:</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Monto del proyecto:</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Papel desempeñado:</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Tiempo de participación:</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vAlign w:val="center"/>
          </w:tcPr>
          <w:p>
            <w:pPr>
              <w:tabs>
                <w:tab w:val="left" w:pos="-695"/>
                <w:tab w:val="left" w:pos="708"/>
                <w:tab w:val="left" w:pos="745"/>
              </w:tabs>
              <w:suppressAutoHyphens/>
              <w:autoSpaceDN w:val="0"/>
              <w:spacing w:before="60" w:after="60"/>
              <w:textAlignment w:val="baseline"/>
              <w:rPr>
                <w:rFonts w:ascii="Arial" w:hAnsi="Arial" w:eastAsia="Times New Roman" w:cs="Arial"/>
                <w:b/>
                <w:kern w:val="3"/>
                <w:sz w:val="20"/>
                <w:lang w:eastAsia="ar-SA"/>
              </w:rPr>
            </w:pPr>
            <w:r>
              <w:rPr>
                <w:rFonts w:ascii="Arial" w:hAnsi="Arial" w:eastAsia="Times New Roman" w:cs="Arial"/>
                <w:b/>
                <w:kern w:val="3"/>
                <w:sz w:val="20"/>
                <w:lang w:eastAsia="ar-SA"/>
              </w:rPr>
              <w:t>Actividades relevantes:</w:t>
            </w:r>
          </w:p>
          <w:p>
            <w:pPr>
              <w:tabs>
                <w:tab w:val="left" w:pos="-695"/>
                <w:tab w:val="left" w:pos="708"/>
                <w:tab w:val="left" w:pos="745"/>
              </w:tabs>
              <w:suppressAutoHyphens/>
              <w:autoSpaceDN w:val="0"/>
              <w:spacing w:before="60" w:after="60"/>
              <w:textAlignment w:val="baseline"/>
              <w:rPr>
                <w:rFonts w:ascii="Arial" w:hAnsi="Arial" w:eastAsia="Times New Roman" w:cs="Arial"/>
                <w:b/>
                <w:kern w:val="3"/>
                <w:sz w:val="20"/>
                <w:lang w:eastAsia="ar-SA"/>
              </w:rPr>
            </w:pPr>
          </w:p>
          <w:p>
            <w:pPr>
              <w:tabs>
                <w:tab w:val="left" w:pos="-695"/>
                <w:tab w:val="left" w:pos="708"/>
                <w:tab w:val="left" w:pos="745"/>
              </w:tabs>
              <w:suppressAutoHyphens/>
              <w:autoSpaceDN w:val="0"/>
              <w:spacing w:before="60" w:after="60"/>
              <w:textAlignment w:val="baseline"/>
              <w:rPr>
                <w:rFonts w:ascii="Arial" w:hAnsi="Arial" w:eastAsia="Times New Roman" w:cs="Arial"/>
                <w:b/>
                <w:kern w:val="3"/>
                <w:sz w:val="20"/>
                <w:lang w:eastAsia="ar-SA"/>
              </w:rPr>
            </w:pPr>
          </w:p>
          <w:p>
            <w:pPr>
              <w:tabs>
                <w:tab w:val="left" w:pos="-695"/>
                <w:tab w:val="left" w:pos="708"/>
                <w:tab w:val="left" w:pos="745"/>
              </w:tabs>
              <w:suppressAutoHyphens/>
              <w:autoSpaceDN w:val="0"/>
              <w:spacing w:before="60" w:after="60"/>
              <w:textAlignment w:val="baseline"/>
              <w:rPr>
                <w:rFonts w:ascii="Arial" w:hAnsi="Arial" w:eastAsia="Times New Roman" w:cs="Arial"/>
                <w:kern w:val="3"/>
                <w:sz w:val="20"/>
                <w:lang w:eastAsia="ar-SA"/>
              </w:rPr>
            </w:pP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bl>
    <w:p>
      <w:pPr>
        <w:tabs>
          <w:tab w:val="left" w:pos="-695"/>
          <w:tab w:val="left" w:pos="745"/>
        </w:tabs>
        <w:suppressAutoHyphens/>
        <w:spacing w:after="0" w:line="240" w:lineRule="auto"/>
        <w:ind w:left="4"/>
        <w:jc w:val="both"/>
        <w:rPr>
          <w:rFonts w:ascii="Arial" w:hAnsi="Arial" w:eastAsia="Times New Roman" w:cs="Arial"/>
          <w:szCs w:val="20"/>
          <w:lang w:eastAsia="hi-IN" w:bidi="hi-IN"/>
        </w:rPr>
      </w:pPr>
    </w:p>
    <w:p>
      <w:pPr>
        <w:spacing w:after="0" w:line="240" w:lineRule="auto"/>
        <w:rPr>
          <w:rFonts w:ascii="Arial" w:hAnsi="Arial" w:eastAsia="Times New Roman" w:cs="Arial"/>
          <w:szCs w:val="20"/>
          <w:lang w:eastAsia="hi-IN" w:bidi="hi-IN"/>
        </w:rPr>
      </w:pPr>
      <w:r>
        <w:rPr>
          <w:rFonts w:ascii="Arial" w:hAnsi="Arial" w:eastAsia="Times New Roman" w:cs="Arial"/>
          <w:szCs w:val="20"/>
          <w:lang w:eastAsia="hi-IN" w:bidi="hi-IN"/>
        </w:rPr>
        <w:br w:type="page"/>
      </w:r>
    </w:p>
    <w:p>
      <w:pPr>
        <w:tabs>
          <w:tab w:val="left" w:pos="-695"/>
          <w:tab w:val="left" w:pos="745"/>
        </w:tabs>
        <w:suppressAutoHyphens/>
        <w:spacing w:after="0" w:line="240" w:lineRule="auto"/>
        <w:ind w:left="4"/>
        <w:jc w:val="both"/>
        <w:rPr>
          <w:rFonts w:ascii="Arial" w:hAnsi="Arial" w:eastAsia="Times New Roman" w:cs="Arial"/>
          <w:sz w:val="20"/>
          <w:szCs w:val="20"/>
          <w:lang w:eastAsia="hi-IN"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 w:val="20"/>
          <w:szCs w:val="20"/>
          <w:lang w:val="es-ES"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 w:val="20"/>
          <w:szCs w:val="20"/>
          <w:lang w:val="es-ES" w:bidi="hi-IN"/>
        </w:rPr>
      </w:pPr>
      <w:r>
        <w:rPr>
          <w:rFonts w:ascii="Arial" w:hAnsi="Arial" w:eastAsia="Times New Roman" w:cs="Arial"/>
          <w:b/>
          <w:bCs/>
          <w:sz w:val="20"/>
          <w:szCs w:val="20"/>
          <w:lang w:val="es-ES" w:bidi="hi-IN"/>
        </w:rPr>
        <w:t>SECCIÓN III.  FORMULARIO DE COMPROMISO DE ASOCIACIÓN O CONSORCIO</w:t>
      </w: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sz w:val="20"/>
          <w:szCs w:val="20"/>
          <w:lang w:val="es-ES" w:bidi="hi-IN"/>
        </w:rPr>
      </w:pPr>
    </w:p>
    <w:p>
      <w:pPr>
        <w:suppressAutoHyphens/>
        <w:spacing w:after="0" w:line="240" w:lineRule="auto"/>
        <w:jc w:val="both"/>
        <w:rPr>
          <w:rFonts w:ascii="Arial" w:hAnsi="Arial" w:eastAsia="Times New Roman" w:cs="Arial"/>
          <w:sz w:val="20"/>
          <w:szCs w:val="20"/>
          <w:lang w:val="es-ES" w:bidi="hi-IN"/>
        </w:rPr>
      </w:pPr>
    </w:p>
    <w:p>
      <w:pPr>
        <w:suppressAutoHyphens/>
        <w:spacing w:after="0" w:line="240" w:lineRule="auto"/>
        <w:jc w:val="both"/>
        <w:rPr>
          <w:rFonts w:ascii="Arial" w:hAnsi="Arial" w:eastAsia="Times New Roman" w:cs="Arial"/>
          <w:sz w:val="20"/>
          <w:lang w:bidi="hi-IN"/>
        </w:rPr>
      </w:pPr>
      <w:r>
        <w:rPr>
          <w:rFonts w:ascii="Arial" w:hAnsi="Arial" w:eastAsia="Times New Roman" w:cs="Arial"/>
          <w:sz w:val="20"/>
          <w:lang w:val="es-ES" w:bidi="hi-IN"/>
        </w:rPr>
        <w:t>Comparecen a la suscripción del presente compromiso, por una parte, ……….. ………, debidamente representada por …………… ………….</w:t>
      </w:r>
      <w:r>
        <w:rPr>
          <w:rFonts w:ascii="Arial" w:hAnsi="Arial" w:eastAsia="Times New Roman" w:cs="Arial"/>
          <w:b/>
          <w:sz w:val="20"/>
          <w:lang w:val="es-ES" w:bidi="hi-IN"/>
        </w:rPr>
        <w:t xml:space="preserve">; </w:t>
      </w:r>
      <w:r>
        <w:rPr>
          <w:rFonts w:ascii="Arial" w:hAnsi="Arial" w:eastAsia="Times New Roman" w:cs="Arial"/>
          <w:sz w:val="20"/>
          <w:lang w:val="es-ES" w:bidi="hi-IN"/>
        </w:rPr>
        <w:t>y, por otra parte, ………….…… representada por …………… ………….</w:t>
      </w:r>
      <w:r>
        <w:rPr>
          <w:rFonts w:ascii="Arial" w:hAnsi="Arial" w:eastAsia="Times New Roman" w:cs="Arial"/>
          <w:bCs/>
          <w:sz w:val="20"/>
          <w:lang w:val="es-ES" w:bidi="hi-IN"/>
        </w:rPr>
        <w:t>, todos debidamente registrados en el RUP.</w:t>
      </w:r>
    </w:p>
    <w:p>
      <w:pPr>
        <w:suppressAutoHyphens/>
        <w:spacing w:after="0" w:line="240" w:lineRule="auto"/>
        <w:jc w:val="both"/>
        <w:rPr>
          <w:rFonts w:ascii="Arial" w:hAnsi="Arial" w:eastAsia="Times New Roman" w:cs="Arial"/>
          <w:sz w:val="20"/>
          <w:lang w:bidi="hi-IN"/>
        </w:rPr>
      </w:pPr>
    </w:p>
    <w:p>
      <w:pPr>
        <w:autoSpaceDE w:val="0"/>
        <w:autoSpaceDN w:val="0"/>
        <w:adjustRightInd w:val="0"/>
        <w:spacing w:after="0" w:line="240" w:lineRule="auto"/>
        <w:jc w:val="both"/>
        <w:rPr>
          <w:rFonts w:ascii="Arial" w:hAnsi="Arial" w:eastAsia="Times New Roman" w:cs="Arial"/>
          <w:sz w:val="20"/>
          <w:lang w:val="es-ES" w:bidi="hi-IN"/>
        </w:rPr>
      </w:pPr>
      <w:r>
        <w:rPr>
          <w:rFonts w:ascii="Arial" w:hAnsi="Arial" w:eastAsia="Times New Roman" w:cs="Arial"/>
          <w:sz w:val="20"/>
          <w:lang w:val="es-ES" w:bidi="hi-IN"/>
        </w:rPr>
        <w:t xml:space="preserve">Los comparecientes, en las calidades que intervienen, capaces para contratar y obligarse, acuerdan suscribir el presente compromiso de Asociación o Consorcio para participar en el proceso licitatorio convocado por el GAD MUNICIPAL DEL CANTÓN CUENCA, para ejecutar: </w:t>
      </w:r>
      <w:r>
        <w:rPr>
          <w:rFonts w:ascii="Arial" w:hAnsi="Arial" w:eastAsia="Times New Roman" w:cs="Arial"/>
          <w:b/>
          <w:sz w:val="20"/>
          <w:lang w:bidi="hi-IN"/>
        </w:rPr>
        <w:t>OBRAS HIDROSANITARIAS, CANALIZACIÓN TELEFÓNICA, CANALIZACIÓN ELÉCTRICA, MUROS, VEREDAS, BORDILLOS, PAVIMENTACIÓN FLEXIBLE, SEÑALIZACIÓN, MITIGACIÓN DE IMPACTOS AMBIENTALES, MUROS DE CONTENCION, SUBDREN Y SEGURIDAD VIAL DE LA CALLE DE LAS AREPAS ENTRE SIN NOMBRE Y SIN NOMBRE; Y LOS SIGUIENTES PROYECTOS DEL CONDOMINO LA FLORESTA: 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r>
        <w:rPr>
          <w:rFonts w:ascii="Arial" w:hAnsi="Arial" w:eastAsia="Times New Roman" w:cs="Arial"/>
          <w:sz w:val="20"/>
          <w:lang w:bidi="hi-IN"/>
        </w:rPr>
        <w:t>.</w:t>
      </w:r>
    </w:p>
    <w:p>
      <w:pPr>
        <w:tabs>
          <w:tab w:val="center" w:pos="4536"/>
        </w:tabs>
        <w:suppressAutoHyphens/>
        <w:spacing w:after="0" w:line="240" w:lineRule="auto"/>
        <w:jc w:val="both"/>
        <w:rPr>
          <w:rFonts w:ascii="Arial" w:hAnsi="Arial" w:eastAsia="Times New Roman" w:cs="Arial"/>
          <w:bCs/>
          <w:sz w:val="20"/>
          <w:lang w:val="es-ES" w:bidi="hi-IN"/>
        </w:rPr>
      </w:pPr>
    </w:p>
    <w:p>
      <w:pPr>
        <w:tabs>
          <w:tab w:val="center" w:pos="4536"/>
        </w:tabs>
        <w:suppressAutoHyphens/>
        <w:spacing w:after="0" w:line="240" w:lineRule="auto"/>
        <w:jc w:val="both"/>
        <w:rPr>
          <w:rFonts w:ascii="Arial" w:hAnsi="Arial" w:eastAsia="Times New Roman" w:cs="Arial"/>
          <w:bCs/>
          <w:sz w:val="20"/>
          <w:lang w:val="es-ES" w:bidi="hi-IN"/>
        </w:rPr>
      </w:pPr>
      <w:r>
        <w:rPr>
          <w:rFonts w:ascii="Arial" w:hAnsi="Arial" w:eastAsia="Times New Roman" w:cs="Arial"/>
          <w:bCs/>
          <w:sz w:val="20"/>
          <w:lang w:val="es-ES" w:bidi="hi-IN"/>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pPr>
        <w:tabs>
          <w:tab w:val="center" w:pos="4536"/>
        </w:tabs>
        <w:suppressAutoHyphens/>
        <w:spacing w:after="0" w:line="240" w:lineRule="auto"/>
        <w:jc w:val="both"/>
        <w:rPr>
          <w:rFonts w:ascii="Arial" w:hAnsi="Arial" w:eastAsia="Times New Roman" w:cs="Arial"/>
          <w:b/>
          <w:bCs/>
          <w:sz w:val="20"/>
          <w:lang w:val="es-ES" w:bidi="hi-IN"/>
        </w:rPr>
      </w:pPr>
    </w:p>
    <w:p>
      <w:pPr>
        <w:tabs>
          <w:tab w:val="left" w:pos="-1004"/>
        </w:tabs>
        <w:suppressAutoHyphens/>
        <w:spacing w:after="0" w:line="240" w:lineRule="auto"/>
        <w:ind w:right="-144"/>
        <w:jc w:val="both"/>
        <w:rPr>
          <w:rFonts w:ascii="Arial" w:hAnsi="Arial" w:eastAsia="Times New Roman" w:cs="Arial"/>
          <w:spacing w:val="-2"/>
          <w:sz w:val="20"/>
          <w:lang w:val="es-ES" w:eastAsia="hi-IN" w:bidi="hi-IN"/>
        </w:rPr>
      </w:pPr>
      <w:r>
        <w:rPr>
          <w:rFonts w:ascii="Arial" w:hAnsi="Arial" w:eastAsia="Times New Roman" w:cs="Arial"/>
          <w:spacing w:val="-2"/>
          <w:sz w:val="20"/>
          <w:lang w:val="es-ES" w:eastAsia="hi-IN" w:bidi="hi-IN"/>
        </w:rPr>
        <w:t>Los promitentes asociados o consorciados presentarán la información considerando los porcentajes de participación en relación a índices, calidades, condiciones, experiencia o cualquier otro indicador puntuable, conforme al siguiente detalle:</w:t>
      </w:r>
    </w:p>
    <w:p>
      <w:pPr>
        <w:tabs>
          <w:tab w:val="left" w:pos="-1004"/>
        </w:tabs>
        <w:suppressAutoHyphens/>
        <w:spacing w:after="0" w:line="240" w:lineRule="auto"/>
        <w:ind w:right="-144"/>
        <w:jc w:val="both"/>
        <w:rPr>
          <w:rFonts w:ascii="Arial" w:hAnsi="Arial" w:eastAsia="Times New Roman" w:cs="Arial"/>
          <w:spacing w:val="-2"/>
          <w:sz w:val="20"/>
          <w:lang w:val="es-ES" w:eastAsia="hi-IN" w:bidi="hi-IN"/>
        </w:rPr>
      </w:pPr>
    </w:p>
    <w:tbl>
      <w:tblPr>
        <w:tblStyle w:val="46"/>
        <w:tblW w:w="9804"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3"/>
        <w:gridCol w:w="2811"/>
        <w:gridCol w:w="2049"/>
        <w:gridCol w:w="2190"/>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 w:hRule="atLeast"/>
        </w:trPr>
        <w:tc>
          <w:tcPr>
            <w:tcW w:w="913"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w:t>
            </w:r>
          </w:p>
        </w:tc>
        <w:tc>
          <w:tcPr>
            <w:tcW w:w="2811"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Nombres completos del socio(s), accionista(s), partícipe(s)</w:t>
            </w:r>
          </w:p>
        </w:tc>
        <w:tc>
          <w:tcPr>
            <w:tcW w:w="2049"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Número de cédula de</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identidad, ruc o identificación</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similar emitida por país</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extranjero, de ser el caso</w:t>
            </w:r>
          </w:p>
        </w:tc>
        <w:tc>
          <w:tcPr>
            <w:tcW w:w="2190"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Porcentaje de</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participación en la</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estructura de</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propiedad de la</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persona jurídica</w:t>
            </w:r>
          </w:p>
        </w:tc>
        <w:tc>
          <w:tcPr>
            <w:tcW w:w="1841" w:type="dxa"/>
            <w:shd w:val="clear" w:color="auto" w:fill="D9D9D9"/>
            <w:vAlign w:val="center"/>
          </w:tcPr>
          <w:p>
            <w:pPr>
              <w:suppressAutoHyphens/>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Naturaleza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1"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bl>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18"/>
          <w:lang w:val="es-ES" w:eastAsia="hi-IN" w:bidi="hi-IN"/>
        </w:rPr>
      </w:pPr>
    </w:p>
    <w:p>
      <w:pPr>
        <w:tabs>
          <w:tab w:val="center" w:pos="4536"/>
        </w:tabs>
        <w:suppressAutoHyphens/>
        <w:spacing w:after="0" w:line="240" w:lineRule="auto"/>
        <w:jc w:val="both"/>
        <w:rPr>
          <w:rFonts w:ascii="Arial" w:hAnsi="Arial" w:eastAsia="Times New Roman" w:cs="Arial"/>
          <w:b/>
          <w:bCs/>
          <w:sz w:val="18"/>
          <w:lang w:val="es-ES" w:bidi="hi-IN"/>
        </w:rPr>
      </w:pPr>
    </w:p>
    <w:tbl>
      <w:tblPr>
        <w:tblStyle w:val="46"/>
        <w:tblW w:w="1016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976"/>
        <w:gridCol w:w="1976"/>
        <w:gridCol w:w="1440"/>
        <w:gridCol w:w="1540"/>
        <w:gridCol w:w="129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 w:hRule="atLeast"/>
        </w:trPr>
        <w:tc>
          <w:tcPr>
            <w:tcW w:w="10162" w:type="dxa"/>
            <w:gridSpan w:val="7"/>
            <w:shd w:val="clear" w:color="auto" w:fill="D9D9D9"/>
            <w:vAlign w:val="center"/>
          </w:tcPr>
          <w:p>
            <w:pPr>
              <w:suppressAutoHyphens/>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ACCIONISTAS DE LA EMPRESA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 w:hRule="atLeast"/>
        </w:trPr>
        <w:tc>
          <w:tcPr>
            <w:tcW w:w="642"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No.</w:t>
            </w:r>
          </w:p>
        </w:tc>
        <w:tc>
          <w:tcPr>
            <w:tcW w:w="1976"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Razón Social</w:t>
            </w:r>
          </w:p>
        </w:tc>
        <w:tc>
          <w:tcPr>
            <w:tcW w:w="1976"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Nombres completos del socio(s), accionista(s), partícipe(s)</w:t>
            </w:r>
          </w:p>
        </w:tc>
        <w:tc>
          <w:tcPr>
            <w:tcW w:w="1440"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Número de cédula de</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identidad, ruc o identificación</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similar emitida por país</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extranjero, de ser el caso</w:t>
            </w:r>
          </w:p>
        </w:tc>
        <w:tc>
          <w:tcPr>
            <w:tcW w:w="1540"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Porcentaje de</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participación en la</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estructura de</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propiedad de la</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persona jurídica</w:t>
            </w:r>
          </w:p>
        </w:tc>
        <w:tc>
          <w:tcPr>
            <w:tcW w:w="1294" w:type="dxa"/>
            <w:shd w:val="clear" w:color="auto" w:fill="D9D9D9"/>
            <w:vAlign w:val="center"/>
          </w:tcPr>
          <w:p>
            <w:pPr>
              <w:suppressAutoHyphens/>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Naturaleza</w:t>
            </w:r>
          </w:p>
        </w:tc>
        <w:tc>
          <w:tcPr>
            <w:tcW w:w="1294" w:type="dxa"/>
            <w:shd w:val="clear" w:color="auto" w:fill="D9D9D9"/>
            <w:vAlign w:val="center"/>
          </w:tcPr>
          <w:p>
            <w:pPr>
              <w:suppressAutoHyphens/>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Domicilio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bl>
    <w:p>
      <w:pPr>
        <w:tabs>
          <w:tab w:val="center" w:pos="4536"/>
        </w:tabs>
        <w:suppressAutoHyphens/>
        <w:spacing w:after="0" w:line="240" w:lineRule="auto"/>
        <w:jc w:val="both"/>
        <w:rPr>
          <w:rFonts w:ascii="Arial" w:hAnsi="Arial" w:eastAsia="Times New Roman" w:cs="Arial"/>
          <w:b/>
          <w:bCs/>
          <w:sz w:val="18"/>
          <w:lang w:val="es-ES" w:bidi="hi-IN"/>
        </w:rPr>
      </w:pPr>
    </w:p>
    <w:p>
      <w:pPr>
        <w:tabs>
          <w:tab w:val="center" w:pos="4536"/>
        </w:tabs>
        <w:suppressAutoHyphens/>
        <w:spacing w:after="0" w:line="240" w:lineRule="auto"/>
        <w:jc w:val="both"/>
        <w:rPr>
          <w:rFonts w:ascii="Arial" w:hAnsi="Arial" w:eastAsia="Times New Roman" w:cs="Arial"/>
          <w:b/>
          <w:bCs/>
          <w:sz w:val="20"/>
          <w:lang w:val="es-ES" w:bidi="hi-IN"/>
        </w:rPr>
      </w:pPr>
      <w:r>
        <w:rPr>
          <w:rFonts w:ascii="Arial" w:hAnsi="Arial" w:eastAsia="Times New Roman" w:cs="Arial"/>
          <w:b/>
          <w:bCs/>
          <w:sz w:val="20"/>
          <w:lang w:val="es-ES" w:bidi="hi-IN"/>
        </w:rPr>
        <w:t>Atentamente,</w:t>
      </w:r>
    </w:p>
    <w:p>
      <w:pPr>
        <w:tabs>
          <w:tab w:val="center" w:pos="4536"/>
        </w:tabs>
        <w:suppressAutoHyphens/>
        <w:spacing w:after="0" w:line="240" w:lineRule="auto"/>
        <w:jc w:val="both"/>
        <w:rPr>
          <w:rFonts w:ascii="Arial" w:hAnsi="Arial" w:eastAsia="Times New Roman" w:cs="Arial"/>
          <w:b/>
          <w:bCs/>
          <w:sz w:val="20"/>
          <w:lang w:val="es-ES" w:bidi="hi-IN"/>
        </w:rPr>
      </w:pPr>
    </w:p>
    <w:p>
      <w:pPr>
        <w:tabs>
          <w:tab w:val="center" w:pos="4536"/>
        </w:tabs>
        <w:suppressAutoHyphens/>
        <w:spacing w:after="0" w:line="240" w:lineRule="auto"/>
        <w:jc w:val="both"/>
        <w:rPr>
          <w:rFonts w:ascii="Arial" w:hAnsi="Arial" w:eastAsia="Times New Roman" w:cs="Arial"/>
          <w:b/>
          <w:bCs/>
          <w:sz w:val="20"/>
          <w:lang w:val="es-ES" w:bidi="hi-IN"/>
        </w:rPr>
      </w:pPr>
    </w:p>
    <w:p>
      <w:pPr>
        <w:tabs>
          <w:tab w:val="center" w:pos="4536"/>
        </w:tabs>
        <w:suppressAutoHyphens/>
        <w:spacing w:after="0" w:line="240" w:lineRule="auto"/>
        <w:jc w:val="both"/>
        <w:rPr>
          <w:rFonts w:ascii="Arial" w:hAnsi="Arial" w:eastAsia="Times New Roman" w:cs="Arial"/>
          <w:b/>
          <w:bCs/>
          <w:sz w:val="20"/>
          <w:lang w:val="es-ES" w:bidi="hi-IN"/>
        </w:rPr>
      </w:pPr>
    </w:p>
    <w:p>
      <w:pPr>
        <w:tabs>
          <w:tab w:val="center" w:pos="4536"/>
        </w:tabs>
        <w:suppressAutoHyphens/>
        <w:spacing w:after="0" w:line="240" w:lineRule="auto"/>
        <w:jc w:val="both"/>
        <w:rPr>
          <w:rFonts w:ascii="Arial" w:hAnsi="Arial" w:eastAsia="Times New Roman" w:cs="Arial"/>
          <w:bCs/>
          <w:sz w:val="20"/>
          <w:lang w:val="es-ES" w:bidi="hi-IN"/>
        </w:rPr>
      </w:pPr>
      <w:r>
        <w:rPr>
          <w:rFonts w:ascii="Arial" w:hAnsi="Arial" w:eastAsia="Times New Roman" w:cs="Arial"/>
          <w:bCs/>
          <w:sz w:val="20"/>
          <w:lang w:val="es-ES" w:bidi="hi-IN"/>
        </w:rPr>
        <w:t>______________________                                              _______________________</w:t>
      </w:r>
    </w:p>
    <w:p>
      <w:pPr>
        <w:tabs>
          <w:tab w:val="center" w:pos="4536"/>
        </w:tabs>
        <w:suppressAutoHyphens/>
        <w:spacing w:after="0" w:line="240" w:lineRule="auto"/>
        <w:jc w:val="both"/>
        <w:rPr>
          <w:rFonts w:ascii="Arial" w:hAnsi="Arial" w:eastAsia="Times New Roman" w:cs="Arial"/>
          <w:sz w:val="20"/>
          <w:lang w:val="es-ES" w:eastAsia="hi-IN" w:bidi="hi-IN"/>
        </w:rPr>
      </w:pPr>
      <w:r>
        <w:rPr>
          <w:rFonts w:ascii="Arial" w:hAnsi="Arial" w:eastAsia="Times New Roman" w:cs="Arial"/>
          <w:b/>
          <w:bCs/>
          <w:sz w:val="20"/>
          <w:lang w:val="es-ES" w:bidi="hi-IN"/>
        </w:rPr>
        <w:t>Promitente Consorciado 1</w:t>
      </w:r>
      <w:r>
        <w:rPr>
          <w:rFonts w:ascii="Arial" w:hAnsi="Arial" w:eastAsia="Times New Roman" w:cs="Arial"/>
          <w:b/>
          <w:bCs/>
          <w:sz w:val="20"/>
          <w:lang w:val="es-ES" w:bidi="hi-IN"/>
        </w:rPr>
        <w:tab/>
      </w:r>
      <w:r>
        <w:rPr>
          <w:rFonts w:ascii="Arial" w:hAnsi="Arial" w:eastAsia="Times New Roman" w:cs="Arial"/>
          <w:b/>
          <w:bCs/>
          <w:sz w:val="20"/>
          <w:lang w:val="es-ES" w:bidi="hi-IN"/>
        </w:rPr>
        <w:tab/>
      </w:r>
      <w:r>
        <w:rPr>
          <w:rFonts w:ascii="Arial" w:hAnsi="Arial" w:eastAsia="Times New Roman" w:cs="Arial"/>
          <w:b/>
          <w:bCs/>
          <w:sz w:val="20"/>
          <w:lang w:val="es-ES" w:bidi="hi-IN"/>
        </w:rPr>
        <w:tab/>
      </w:r>
      <w:r>
        <w:rPr>
          <w:rFonts w:ascii="Arial" w:hAnsi="Arial" w:eastAsia="Times New Roman" w:cs="Arial"/>
          <w:b/>
          <w:bCs/>
          <w:sz w:val="20"/>
          <w:lang w:val="es-ES" w:bidi="hi-IN"/>
        </w:rPr>
        <w:t>Promitente Consorciado 2</w:t>
      </w:r>
    </w:p>
    <w:p>
      <w:pPr>
        <w:suppressAutoHyphens/>
        <w:spacing w:after="0" w:line="240" w:lineRule="auto"/>
        <w:rPr>
          <w:rFonts w:ascii="Arial" w:hAnsi="Arial" w:eastAsia="Times New Roman" w:cs="Arial"/>
          <w:sz w:val="20"/>
          <w:lang w:val="es-ES" w:eastAsia="hi-IN" w:bidi="hi-IN"/>
        </w:rPr>
      </w:pPr>
      <w:r>
        <w:rPr>
          <w:rFonts w:ascii="Arial" w:hAnsi="Arial" w:eastAsia="Times New Roman" w:cs="Arial"/>
          <w:sz w:val="20"/>
          <w:lang w:val="es-ES" w:eastAsia="hi-IN" w:bidi="hi-IN"/>
        </w:rPr>
        <w:t>RUC No.</w:t>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RUC No.</w:t>
      </w:r>
    </w:p>
    <w:p>
      <w:pPr>
        <w:suppressAutoHyphens/>
        <w:spacing w:after="0" w:line="240" w:lineRule="auto"/>
        <w:rPr>
          <w:rFonts w:ascii="Arial" w:hAnsi="Arial" w:eastAsia="Times New Roman" w:cs="Arial"/>
          <w:sz w:val="20"/>
          <w:lang w:val="es-ES" w:eastAsia="hi-IN" w:bidi="hi-IN"/>
        </w:rPr>
      </w:pPr>
    </w:p>
    <w:p>
      <w:pPr>
        <w:suppressAutoHyphens/>
        <w:spacing w:after="0" w:line="240" w:lineRule="auto"/>
        <w:rPr>
          <w:rFonts w:ascii="Arial" w:hAnsi="Arial" w:eastAsia="Times New Roman" w:cs="Arial"/>
          <w:sz w:val="20"/>
          <w:lang w:val="es-ES" w:eastAsia="hi-IN" w:bidi="hi-IN"/>
        </w:rPr>
      </w:pPr>
    </w:p>
    <w:p>
      <w:pPr>
        <w:suppressAutoHyphens/>
        <w:spacing w:after="0" w:line="240" w:lineRule="auto"/>
        <w:rPr>
          <w:rFonts w:ascii="Arial" w:hAnsi="Arial" w:eastAsia="Times New Roman" w:cs="Arial"/>
          <w:sz w:val="20"/>
          <w:lang w:val="es-ES" w:eastAsia="hi-IN" w:bidi="hi-IN"/>
        </w:rPr>
      </w:pPr>
    </w:p>
    <w:p>
      <w:pPr>
        <w:suppressAutoHyphens/>
        <w:spacing w:after="0" w:line="240" w:lineRule="auto"/>
        <w:rPr>
          <w:rFonts w:ascii="Arial" w:hAnsi="Arial" w:eastAsia="Times New Roman" w:cs="Arial"/>
          <w:sz w:val="20"/>
          <w:lang w:val="es-ES" w:eastAsia="hi-IN" w:bidi="hi-IN"/>
        </w:rPr>
      </w:pPr>
      <w:r>
        <w:rPr>
          <w:rFonts w:ascii="Arial" w:hAnsi="Arial" w:eastAsia="Times New Roman" w:cs="Arial"/>
          <w:sz w:val="20"/>
          <w:lang w:val="es-ES" w:eastAsia="hi-IN" w:bidi="hi-IN"/>
        </w:rPr>
        <w:t>________________________</w:t>
      </w:r>
    </w:p>
    <w:p>
      <w:pPr>
        <w:tabs>
          <w:tab w:val="center" w:pos="4536"/>
        </w:tabs>
        <w:suppressAutoHyphens/>
        <w:spacing w:after="0" w:line="240" w:lineRule="auto"/>
        <w:jc w:val="both"/>
        <w:rPr>
          <w:rFonts w:ascii="Arial" w:hAnsi="Arial" w:eastAsia="Times New Roman" w:cs="Arial"/>
          <w:sz w:val="20"/>
          <w:lang w:val="es-ES" w:eastAsia="hi-IN" w:bidi="hi-IN"/>
        </w:rPr>
      </w:pPr>
      <w:r>
        <w:rPr>
          <w:rFonts w:ascii="Arial" w:hAnsi="Arial" w:eastAsia="Times New Roman" w:cs="Arial"/>
          <w:b/>
          <w:bCs/>
          <w:sz w:val="20"/>
          <w:lang w:val="es-ES" w:bidi="hi-IN"/>
        </w:rPr>
        <w:t>Promitente Consorciado (n)</w:t>
      </w:r>
    </w:p>
    <w:p>
      <w:pPr>
        <w:suppressAutoHyphens/>
        <w:spacing w:after="0" w:line="240" w:lineRule="auto"/>
        <w:rPr>
          <w:rFonts w:ascii="Arial" w:hAnsi="Arial" w:eastAsia="Times New Roman" w:cs="Arial"/>
          <w:sz w:val="20"/>
          <w:lang w:val="es-ES" w:eastAsia="hi-IN" w:bidi="hi-IN"/>
        </w:rPr>
      </w:pPr>
      <w:r>
        <w:rPr>
          <w:rFonts w:ascii="Arial" w:hAnsi="Arial" w:eastAsia="Times New Roman" w:cs="Arial"/>
          <w:sz w:val="20"/>
          <w:lang w:val="es-ES" w:eastAsia="hi-IN" w:bidi="hi-IN"/>
        </w:rPr>
        <w:t>RUC No.</w:t>
      </w:r>
    </w:p>
    <w:p>
      <w:pPr>
        <w:suppressAutoHyphens/>
        <w:spacing w:after="0" w:line="240" w:lineRule="auto"/>
        <w:rPr>
          <w:rFonts w:ascii="Arial" w:hAnsi="Arial" w:eastAsia="Times New Roman" w:cs="Arial"/>
          <w:sz w:val="18"/>
          <w:lang w:val="es-ES" w:eastAsia="hi-IN" w:bidi="hi-IN"/>
        </w:rPr>
      </w:pPr>
    </w:p>
    <w:p>
      <w:pPr>
        <w:suppressAutoHyphens/>
        <w:spacing w:after="0" w:line="240" w:lineRule="auto"/>
        <w:rPr>
          <w:rFonts w:ascii="Times New Roman" w:hAnsi="Times New Roman" w:eastAsia="Times New Roman" w:cs="Times New Roman"/>
          <w:sz w:val="20"/>
          <w:szCs w:val="20"/>
          <w:lang w:val="es-ES" w:eastAsia="hi-IN" w:bidi="hi-IN"/>
        </w:rPr>
      </w:pPr>
    </w:p>
    <w:p>
      <w:pPr>
        <w:shd w:val="clear" w:color="auto" w:fill="FFFFFF"/>
        <w:tabs>
          <w:tab w:val="left" w:pos="-540"/>
          <w:tab w:val="left" w:pos="3036"/>
          <w:tab w:val="left" w:pos="3274"/>
          <w:tab w:val="left" w:pos="3631"/>
          <w:tab w:val="left" w:pos="3869"/>
        </w:tabs>
        <w:suppressAutoHyphens/>
        <w:spacing w:after="0" w:line="240" w:lineRule="auto"/>
        <w:ind w:left="15" w:right="45"/>
        <w:rPr>
          <w:rFonts w:ascii="Arial" w:hAnsi="Arial" w:eastAsia="Times New Roman" w:cs="Arial"/>
          <w:spacing w:val="-3"/>
          <w:sz w:val="18"/>
          <w:lang w:eastAsia="hi-IN" w:bidi="hi-IN"/>
        </w:rPr>
      </w:pPr>
    </w:p>
    <w:p>
      <w:pPr>
        <w:tabs>
          <w:tab w:val="right" w:pos="851"/>
        </w:tabs>
        <w:suppressAutoHyphens/>
        <w:spacing w:after="0" w:line="240" w:lineRule="auto"/>
        <w:rPr>
          <w:rFonts w:ascii="Times New Roman" w:hAnsi="Times New Roman" w:eastAsia="Times New Roman" w:cs="Times New Roman"/>
          <w:sz w:val="20"/>
          <w:szCs w:val="20"/>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spacing w:after="0" w:line="240" w:lineRule="auto"/>
        <w:rPr>
          <w:rFonts w:ascii="Times New Roman" w:hAnsi="Times New Roman" w:eastAsia="Times New Roman" w:cs="Times New Roman"/>
          <w:sz w:val="18"/>
          <w:lang w:eastAsia="hi-IN" w:bidi="hi-IN"/>
        </w:rPr>
      </w:pPr>
      <w:r>
        <w:rPr>
          <w:rFonts w:ascii="Times New Roman" w:hAnsi="Times New Roman" w:eastAsia="Times New Roman" w:cs="Times New Roman"/>
          <w:sz w:val="18"/>
          <w:lang w:eastAsia="hi-IN" w:bidi="hi-IN"/>
        </w:rPr>
        <w:br w:type="page"/>
      </w: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 w:val="20"/>
          <w:szCs w:val="20"/>
          <w:lang w:val="es-ES"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Cs w:val="20"/>
          <w:lang w:val="es-ES" w:bidi="hi-IN"/>
        </w:rPr>
      </w:pPr>
      <w:r>
        <w:rPr>
          <w:rFonts w:ascii="Arial" w:hAnsi="Arial" w:eastAsia="Times New Roman" w:cs="Arial"/>
          <w:b/>
          <w:bCs/>
          <w:szCs w:val="20"/>
          <w:lang w:val="es-ES" w:bidi="hi-IN"/>
        </w:rPr>
        <w:t>SECCIÓN IV.  FORMULARIO DE COMPROMISO DE SUBCONTRATACIÓN</w:t>
      </w: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szCs w:val="20"/>
          <w:lang w:val="es-ES" w:bidi="hi-IN"/>
        </w:rPr>
      </w:pPr>
    </w:p>
    <w:p>
      <w:pPr>
        <w:suppressAutoHyphens/>
        <w:spacing w:after="0" w:line="240" w:lineRule="auto"/>
        <w:jc w:val="center"/>
        <w:rPr>
          <w:rFonts w:ascii="Arial" w:hAnsi="Arial" w:eastAsia="Times New Roman" w:cs="Arial"/>
          <w:b/>
          <w:bCs/>
          <w:szCs w:val="20"/>
          <w:u w:val="single"/>
          <w:lang w:val="es-ES" w:bidi="hi-IN"/>
        </w:rPr>
      </w:pPr>
    </w:p>
    <w:p>
      <w:pPr>
        <w:tabs>
          <w:tab w:val="left" w:pos="-720"/>
        </w:tabs>
        <w:suppressAutoHyphens/>
        <w:spacing w:after="0" w:line="240" w:lineRule="auto"/>
        <w:jc w:val="both"/>
        <w:rPr>
          <w:rFonts w:ascii="Arial" w:hAnsi="Arial" w:eastAsia="Times New Roman" w:cs="Arial"/>
          <w:b/>
          <w:sz w:val="20"/>
          <w:lang w:bidi="hi-IN"/>
        </w:rPr>
      </w:pPr>
      <w:r>
        <w:rPr>
          <w:rFonts w:ascii="Arial" w:hAnsi="Arial" w:eastAsia="Times New Roman" w:cs="Arial"/>
          <w:b/>
          <w:sz w:val="20"/>
          <w:lang w:bidi="hi-IN"/>
        </w:rPr>
        <w:t>IDENTIFICACIÓN DE SUBCONTRATISTAS Y PORCENTAJE DE SUBCONTRATACIÓN</w:t>
      </w:r>
    </w:p>
    <w:p>
      <w:pPr>
        <w:widowControl w:val="0"/>
        <w:suppressAutoHyphens/>
        <w:overflowPunct w:val="0"/>
        <w:spacing w:after="0" w:line="240" w:lineRule="auto"/>
        <w:ind w:right="-119"/>
        <w:jc w:val="both"/>
        <w:textAlignment w:val="baseline"/>
        <w:rPr>
          <w:rFonts w:ascii="Arial" w:hAnsi="Arial" w:eastAsia="Times New Roman" w:cs="Arial"/>
          <w:spacing w:val="-2"/>
          <w:sz w:val="20"/>
          <w:lang w:eastAsia="hi-IN" w:bidi="hi-IN"/>
        </w:rPr>
      </w:pPr>
    </w:p>
    <w:p>
      <w:pPr>
        <w:autoSpaceDE w:val="0"/>
        <w:autoSpaceDN w:val="0"/>
        <w:adjustRightInd w:val="0"/>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Yo, ........................................., en mi calidad de persona natural / REPRESENTANTE LEGAL de ……………………, de profesión .............................., con número de RUC …………., me comprometo a prestar los servicios de mi representada, como subcontratista del oferente …………………, en el procedimiento de ejecución de obra </w:t>
      </w:r>
      <w:r>
        <w:rPr>
          <w:rFonts w:ascii="Arial" w:hAnsi="Arial" w:eastAsia="Times New Roman" w:cs="Arial"/>
          <w:b/>
          <w:spacing w:val="-3"/>
          <w:sz w:val="20"/>
          <w:lang w:eastAsia="hi-IN" w:bidi="hi-IN"/>
        </w:rPr>
        <w:t xml:space="preserve">OBRAS HIDROSANITARIAS, CANALIZACIÓN TELEFÓNICA, CANALIZACIÓN ELÉCTRICA, MUROS, VEREDAS, BORDILLOS, PAVIMENTACIÓN FLEXIBLE, SEÑALIZACIÓN, MITIGACIÓN DE IMPACTOS AMBIENTALES, MUROS DE CONTENCION, SUBDREN Y SEGURIDAD VIAL DE LA CALLE DE LAS AREPAS ENTRE SIN NOMBRE Y SIN NOMBRE; </w:t>
      </w:r>
      <w:r>
        <w:rPr>
          <w:rFonts w:ascii="Arial" w:hAnsi="Arial" w:eastAsia="Times New Roman" w:cs="Arial"/>
          <w:b/>
          <w:sz w:val="20"/>
          <w:lang w:bidi="hi-IN"/>
        </w:rPr>
        <w:t>Y LOS SIGUIENTES PROYECTOS DEL CONDOMINO LA FLORESTA:</w:t>
      </w:r>
      <w:r>
        <w:rPr>
          <w:rFonts w:ascii="Arial" w:hAnsi="Arial" w:eastAsia="Times New Roman" w:cs="Arial"/>
          <w:b/>
          <w:spacing w:val="-3"/>
          <w:sz w:val="20"/>
          <w:lang w:eastAsia="hi-IN" w:bidi="hi-IN"/>
        </w:rPr>
        <w:t xml:space="preserve"> 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r>
        <w:rPr>
          <w:rFonts w:ascii="Arial" w:hAnsi="Arial" w:eastAsia="Times New Roman" w:cs="Arial"/>
          <w:sz w:val="20"/>
          <w:lang w:val="es-ES" w:bidi="hi-IN"/>
        </w:rPr>
        <w:t>,</w:t>
      </w:r>
      <w:r>
        <w:rPr>
          <w:rFonts w:ascii="Arial" w:hAnsi="Arial" w:eastAsia="Times New Roman" w:cs="Arial"/>
          <w:spacing w:val="-3"/>
          <w:sz w:val="20"/>
          <w:lang w:eastAsia="hi-IN" w:bidi="hi-IN"/>
        </w:rPr>
        <w:t xml:space="preserve"> durante el período que dure la ejecución de la obra, con ……………………. </w:t>
      </w:r>
      <w:r>
        <w:rPr>
          <w:rFonts w:ascii="Arial" w:hAnsi="Arial" w:eastAsia="Times New Roman" w:cs="Arial"/>
          <w:spacing w:val="-3"/>
          <w:sz w:val="20"/>
          <w:highlight w:val="lightGray"/>
          <w:lang w:eastAsia="hi-IN" w:bidi="hi-IN"/>
        </w:rPr>
        <w:t>(</w:t>
      </w:r>
      <w:r>
        <w:rPr>
          <w:rFonts w:ascii="Arial" w:hAnsi="Arial" w:eastAsia="Times New Roman" w:cs="Arial"/>
          <w:i/>
          <w:iCs/>
          <w:spacing w:val="-3"/>
          <w:sz w:val="20"/>
          <w:highlight w:val="lightGray"/>
          <w:lang w:eastAsia="hi-IN" w:bidi="hi-IN"/>
        </w:rPr>
        <w:t>nombre del oferente</w:t>
      </w:r>
      <w:r>
        <w:rPr>
          <w:rFonts w:ascii="Arial" w:hAnsi="Arial" w:eastAsia="Times New Roman" w:cs="Arial"/>
          <w:i/>
          <w:iCs/>
          <w:spacing w:val="-3"/>
          <w:sz w:val="20"/>
          <w:lang w:eastAsia="hi-IN" w:bidi="hi-IN"/>
        </w:rPr>
        <w:t>)</w:t>
      </w:r>
      <w:r>
        <w:rPr>
          <w:rFonts w:ascii="Arial" w:hAnsi="Arial" w:eastAsia="Times New Roman" w:cs="Arial"/>
          <w:spacing w:val="-3"/>
          <w:sz w:val="20"/>
          <w:lang w:eastAsia="hi-IN" w:bidi="hi-IN"/>
        </w:rPr>
        <w:t xml:space="preserve"> en el caso de que suscriba el contrato de ejecución de las obras.</w:t>
      </w:r>
    </w:p>
    <w:p>
      <w:pPr>
        <w:tabs>
          <w:tab w:val="left" w:pos="-720"/>
        </w:tabs>
        <w:suppressAutoHyphens/>
        <w:spacing w:after="0" w:line="240" w:lineRule="auto"/>
        <w:jc w:val="both"/>
        <w:rPr>
          <w:rFonts w:ascii="Arial" w:hAnsi="Arial" w:eastAsia="Times New Roman" w:cs="Arial"/>
          <w:spacing w:val="-3"/>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Declaro bajo juramento que no tengo relación de asocio, dependencia, parentesco de ningún tipo con los accionistas, representantes y/o propietarios de la oferente a la cual me comprometo a prestar mis servicios en calidad de subcontratista. Asimismo, declaro que la información que a continuación se agrega es cierta y que ni mi persona o los socios, aportantes y/o integrantes de la MYPE y/o EPS que represento no tiene relación de naturaleza alguna con los accionistas, representantes y/o propietarios de la oferente y que me encuentro domiciliado en la localidad (es) donde se ejecutará el proyecto.</w:t>
      </w:r>
    </w:p>
    <w:p>
      <w:pPr>
        <w:tabs>
          <w:tab w:val="left" w:pos="-720"/>
        </w:tabs>
        <w:suppressAutoHyphens/>
        <w:spacing w:after="0" w:line="240" w:lineRule="auto"/>
        <w:jc w:val="both"/>
        <w:rPr>
          <w:rFonts w:ascii="Arial" w:hAnsi="Arial" w:eastAsia="Times New Roman" w:cs="Arial"/>
          <w:spacing w:val="-3"/>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z w:val="20"/>
          <w:lang w:eastAsia="hi-IN" w:bidi="hi-IN"/>
        </w:rPr>
        <w:t>Para tal efecto, dejo señalado que los rubros que se subcontratará son los determinados a continuación, de conformidad con el presupuesto detallado en la Tabla de Cantidades y Precios.</w:t>
      </w:r>
    </w:p>
    <w:p>
      <w:pPr>
        <w:tabs>
          <w:tab w:val="left" w:pos="-720"/>
        </w:tabs>
        <w:suppressAutoHyphens/>
        <w:spacing w:after="0" w:line="240" w:lineRule="auto"/>
        <w:jc w:val="both"/>
        <w:rPr>
          <w:rFonts w:ascii="Arial" w:hAnsi="Arial" w:eastAsia="Times New Roman" w:cs="Arial"/>
          <w:spacing w:val="-3"/>
          <w:sz w:val="20"/>
          <w:lang w:eastAsia="hi-IN" w:bidi="hi-IN"/>
        </w:rPr>
      </w:pPr>
    </w:p>
    <w:tbl>
      <w:tblPr>
        <w:tblStyle w:val="46"/>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061"/>
        <w:gridCol w:w="2358"/>
        <w:gridCol w:w="1459"/>
        <w:gridCol w:w="115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shd w:val="clear" w:color="auto" w:fill="D9D9D9"/>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No.</w:t>
            </w:r>
          </w:p>
        </w:tc>
        <w:tc>
          <w:tcPr>
            <w:tcW w:w="2061"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Denominación del rubro</w:t>
            </w:r>
          </w:p>
        </w:tc>
        <w:tc>
          <w:tcPr>
            <w:tcW w:w="2358"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Cantidad</w:t>
            </w:r>
          </w:p>
        </w:tc>
        <w:tc>
          <w:tcPr>
            <w:tcW w:w="1459" w:type="dxa"/>
            <w:shd w:val="clear" w:color="auto" w:fill="D9D9D9"/>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Precio Unitario</w:t>
            </w:r>
          </w:p>
        </w:tc>
        <w:tc>
          <w:tcPr>
            <w:tcW w:w="1155"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Valor ($)</w:t>
            </w:r>
          </w:p>
        </w:tc>
        <w:tc>
          <w:tcPr>
            <w:tcW w:w="1773"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 respecto el monto contractual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suppressAutoHyphens/>
              <w:spacing w:after="0" w:line="240" w:lineRule="auto"/>
              <w:jc w:val="center"/>
              <w:rPr>
                <w:rFonts w:ascii="Arial" w:hAnsi="Arial" w:eastAsia="Times New Roman" w:cs="Arial"/>
                <w:sz w:val="20"/>
                <w:lang w:eastAsia="hi-IN" w:bidi="hi-IN"/>
              </w:rPr>
            </w:pPr>
          </w:p>
        </w:tc>
        <w:tc>
          <w:tcPr>
            <w:tcW w:w="2061" w:type="dxa"/>
            <w:vAlign w:val="center"/>
          </w:tcPr>
          <w:p>
            <w:pPr>
              <w:suppressAutoHyphens/>
              <w:spacing w:after="0" w:line="240" w:lineRule="auto"/>
              <w:jc w:val="center"/>
              <w:rPr>
                <w:rFonts w:ascii="Arial" w:hAnsi="Arial" w:eastAsia="Times New Roman" w:cs="Arial"/>
                <w:sz w:val="20"/>
                <w:lang w:eastAsia="hi-IN" w:bidi="hi-IN"/>
              </w:rPr>
            </w:pPr>
          </w:p>
        </w:tc>
        <w:tc>
          <w:tcPr>
            <w:tcW w:w="2358" w:type="dxa"/>
            <w:shd w:val="clear" w:color="auto" w:fill="auto"/>
            <w:vAlign w:val="center"/>
          </w:tcPr>
          <w:p>
            <w:pPr>
              <w:suppressAutoHyphens/>
              <w:spacing w:after="0" w:line="240" w:lineRule="auto"/>
              <w:rPr>
                <w:rFonts w:ascii="Arial" w:hAnsi="Arial" w:eastAsia="Times New Roman" w:cs="Arial"/>
                <w:sz w:val="20"/>
                <w:lang w:eastAsia="hi-IN" w:bidi="hi-IN"/>
              </w:rPr>
            </w:pPr>
          </w:p>
        </w:tc>
        <w:tc>
          <w:tcPr>
            <w:tcW w:w="1459" w:type="dxa"/>
          </w:tcPr>
          <w:p>
            <w:pPr>
              <w:suppressAutoHyphens/>
              <w:spacing w:after="0" w:line="240" w:lineRule="auto"/>
              <w:jc w:val="right"/>
              <w:rPr>
                <w:rFonts w:ascii="Arial" w:hAnsi="Arial" w:eastAsia="Times New Roman" w:cs="Arial"/>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suppressAutoHyphens/>
              <w:spacing w:after="0" w:line="240" w:lineRule="auto"/>
              <w:jc w:val="center"/>
              <w:rPr>
                <w:rFonts w:ascii="Arial" w:hAnsi="Arial" w:eastAsia="Times New Roman" w:cs="Arial"/>
                <w:sz w:val="20"/>
                <w:lang w:eastAsia="hi-IN" w:bidi="hi-IN"/>
              </w:rPr>
            </w:pPr>
          </w:p>
        </w:tc>
        <w:tc>
          <w:tcPr>
            <w:tcW w:w="2061" w:type="dxa"/>
            <w:vAlign w:val="center"/>
          </w:tcPr>
          <w:p>
            <w:pPr>
              <w:suppressAutoHyphens/>
              <w:spacing w:after="0" w:line="240" w:lineRule="auto"/>
              <w:jc w:val="center"/>
              <w:rPr>
                <w:rFonts w:ascii="Arial" w:hAnsi="Arial" w:eastAsia="Times New Roman" w:cs="Arial"/>
                <w:sz w:val="20"/>
                <w:lang w:eastAsia="hi-IN" w:bidi="hi-IN"/>
              </w:rPr>
            </w:pPr>
          </w:p>
        </w:tc>
        <w:tc>
          <w:tcPr>
            <w:tcW w:w="2358" w:type="dxa"/>
            <w:shd w:val="clear" w:color="auto" w:fill="auto"/>
            <w:vAlign w:val="center"/>
          </w:tcPr>
          <w:p>
            <w:pPr>
              <w:suppressAutoHyphens/>
              <w:spacing w:after="0" w:line="240" w:lineRule="auto"/>
              <w:rPr>
                <w:rFonts w:ascii="Arial" w:hAnsi="Arial" w:eastAsia="Times New Roman" w:cs="Arial"/>
                <w:sz w:val="20"/>
                <w:lang w:eastAsia="hi-IN" w:bidi="hi-IN"/>
              </w:rPr>
            </w:pPr>
          </w:p>
        </w:tc>
        <w:tc>
          <w:tcPr>
            <w:tcW w:w="1459" w:type="dxa"/>
          </w:tcPr>
          <w:p>
            <w:pPr>
              <w:suppressAutoHyphens/>
              <w:spacing w:after="0" w:line="240" w:lineRule="auto"/>
              <w:jc w:val="right"/>
              <w:rPr>
                <w:rFonts w:ascii="Arial" w:hAnsi="Arial" w:eastAsia="Times New Roman" w:cs="Arial"/>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suppressAutoHyphens/>
              <w:spacing w:after="0" w:line="240" w:lineRule="auto"/>
              <w:jc w:val="center"/>
              <w:rPr>
                <w:rFonts w:ascii="Arial" w:hAnsi="Arial" w:eastAsia="Times New Roman" w:cs="Arial"/>
                <w:sz w:val="20"/>
                <w:lang w:eastAsia="hi-IN" w:bidi="hi-IN"/>
              </w:rPr>
            </w:pPr>
          </w:p>
        </w:tc>
        <w:tc>
          <w:tcPr>
            <w:tcW w:w="2061" w:type="dxa"/>
            <w:vAlign w:val="center"/>
          </w:tcPr>
          <w:p>
            <w:pPr>
              <w:suppressAutoHyphens/>
              <w:spacing w:after="0" w:line="240" w:lineRule="auto"/>
              <w:jc w:val="center"/>
              <w:rPr>
                <w:rFonts w:ascii="Arial" w:hAnsi="Arial" w:eastAsia="Times New Roman" w:cs="Arial"/>
                <w:sz w:val="20"/>
                <w:lang w:eastAsia="hi-IN" w:bidi="hi-IN"/>
              </w:rPr>
            </w:pPr>
          </w:p>
        </w:tc>
        <w:tc>
          <w:tcPr>
            <w:tcW w:w="2358" w:type="dxa"/>
            <w:shd w:val="clear" w:color="auto" w:fill="auto"/>
            <w:vAlign w:val="center"/>
          </w:tcPr>
          <w:p>
            <w:pPr>
              <w:suppressAutoHyphens/>
              <w:spacing w:after="0" w:line="240" w:lineRule="auto"/>
              <w:rPr>
                <w:rFonts w:ascii="Arial" w:hAnsi="Arial" w:eastAsia="Times New Roman" w:cs="Arial"/>
                <w:sz w:val="20"/>
                <w:lang w:eastAsia="hi-IN" w:bidi="hi-IN"/>
              </w:rPr>
            </w:pPr>
          </w:p>
        </w:tc>
        <w:tc>
          <w:tcPr>
            <w:tcW w:w="1459" w:type="dxa"/>
          </w:tcPr>
          <w:p>
            <w:pPr>
              <w:suppressAutoHyphens/>
              <w:spacing w:after="0" w:line="240" w:lineRule="auto"/>
              <w:jc w:val="right"/>
              <w:rPr>
                <w:rFonts w:ascii="Arial" w:hAnsi="Arial" w:eastAsia="Times New Roman" w:cs="Arial"/>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8" w:type="dxa"/>
            <w:gridSpan w:val="3"/>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SUMA TOTAL</w:t>
            </w:r>
          </w:p>
        </w:tc>
        <w:tc>
          <w:tcPr>
            <w:tcW w:w="1459" w:type="dxa"/>
          </w:tcPr>
          <w:p>
            <w:pPr>
              <w:suppressAutoHyphens/>
              <w:spacing w:after="0" w:line="240" w:lineRule="auto"/>
              <w:jc w:val="right"/>
              <w:rPr>
                <w:rFonts w:ascii="Arial" w:hAnsi="Arial" w:eastAsia="Times New Roman" w:cs="Arial"/>
                <w:b/>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b/>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b/>
                <w:sz w:val="20"/>
                <w:lang w:eastAsia="hi-IN" w:bidi="hi-IN"/>
              </w:rPr>
            </w:pPr>
          </w:p>
        </w:tc>
      </w:tr>
    </w:tbl>
    <w:p>
      <w:pPr>
        <w:suppressAutoHyphens/>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p>
    <w:p>
      <w:pPr>
        <w:suppressAutoHyphens/>
        <w:spacing w:after="0" w:line="240" w:lineRule="auto"/>
        <w:rPr>
          <w:rFonts w:ascii="Arial" w:hAnsi="Arial" w:eastAsia="Times New Roman" w:cs="Arial"/>
          <w:sz w:val="20"/>
          <w:lang w:eastAsia="hi-IN" w:bidi="hi-IN"/>
        </w:rPr>
      </w:pPr>
    </w:p>
    <w:p>
      <w:pPr>
        <w:suppressAutoHyphens/>
        <w:spacing w:after="0" w:line="240" w:lineRule="auto"/>
        <w:rPr>
          <w:rFonts w:ascii="Arial" w:hAnsi="Arial" w:eastAsia="Times New Roman" w:cs="Arial"/>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w:t>
      </w: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(LUGAR Y FECHA)</w:t>
      </w:r>
    </w:p>
    <w:p>
      <w:pPr>
        <w:tabs>
          <w:tab w:val="left" w:pos="-720"/>
        </w:tabs>
        <w:suppressAutoHyphens/>
        <w:spacing w:after="0" w:line="240" w:lineRule="auto"/>
        <w:jc w:val="both"/>
        <w:rPr>
          <w:rFonts w:ascii="Arial" w:hAnsi="Arial" w:eastAsia="Times New Roman" w:cs="Arial"/>
          <w:spacing w:val="-3"/>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w:t>
      </w:r>
    </w:p>
    <w:p>
      <w:pPr>
        <w:tabs>
          <w:tab w:val="center" w:pos="4334"/>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(FIRMA DEL SUBCONTRATISTA MYPE o EPS)</w:t>
      </w:r>
    </w:p>
    <w:p>
      <w:pPr>
        <w:tabs>
          <w:tab w:val="center" w:pos="4334"/>
        </w:tabs>
        <w:suppressAutoHyphens/>
        <w:spacing w:after="0" w:line="240" w:lineRule="auto"/>
        <w:jc w:val="both"/>
        <w:rPr>
          <w:rFonts w:ascii="Arial" w:hAnsi="Arial" w:eastAsia="Times New Roman" w:cs="Arial"/>
          <w:spacing w:val="-3"/>
          <w:sz w:val="20"/>
          <w:lang w:eastAsia="hi-IN" w:bidi="hi-IN"/>
        </w:rPr>
      </w:pPr>
    </w:p>
    <w:p>
      <w:pPr>
        <w:tabs>
          <w:tab w:val="center" w:pos="4334"/>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ab/>
      </w:r>
    </w:p>
    <w:p>
      <w:pPr>
        <w:tabs>
          <w:tab w:val="center" w:pos="4334"/>
        </w:tabs>
        <w:suppressAutoHyphens/>
        <w:spacing w:after="0" w:line="240" w:lineRule="auto"/>
        <w:jc w:val="both"/>
        <w:rPr>
          <w:rFonts w:ascii="Arial" w:hAnsi="Arial" w:eastAsia="Times New Roman" w:cs="Arial"/>
          <w:spacing w:val="-3"/>
          <w:sz w:val="20"/>
          <w:lang w:eastAsia="hi-IN" w:bidi="hi-IN"/>
        </w:rPr>
      </w:pPr>
    </w:p>
    <w:tbl>
      <w:tblPr>
        <w:tblStyle w:val="46"/>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Cantón:</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Parroquia:</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Dirección:</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Teléfono(s):     </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Correo electrónico</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bl>
    <w:p>
      <w:pPr>
        <w:tabs>
          <w:tab w:val="left" w:pos="-720"/>
        </w:tabs>
        <w:suppressAutoHyphens/>
        <w:spacing w:after="0" w:line="240" w:lineRule="auto"/>
        <w:jc w:val="both"/>
        <w:rPr>
          <w:rFonts w:ascii="Arial" w:hAnsi="Arial" w:eastAsia="Times New Roman" w:cs="Arial"/>
          <w:b/>
          <w:bCs/>
          <w:sz w:val="20"/>
          <w:u w:val="single"/>
          <w:lang w:val="es-ES" w:bidi="hi-IN"/>
        </w:rPr>
      </w:pPr>
    </w:p>
    <w:p>
      <w:pPr>
        <w:spacing w:after="0" w:line="240" w:lineRule="auto"/>
        <w:jc w:val="center"/>
        <w:rPr>
          <w:rFonts w:ascii="Arial" w:hAnsi="Arial" w:eastAsia="Times New Roman" w:cs="Arial"/>
          <w:b/>
          <w:bCs/>
          <w:sz w:val="20"/>
          <w:szCs w:val="20"/>
          <w:lang w:bidi="hi-IN"/>
        </w:rPr>
      </w:pPr>
      <w:r>
        <w:rPr>
          <w:rFonts w:ascii="Arial" w:hAnsi="Arial" w:eastAsia="Times New Roman" w:cs="Arial"/>
          <w:b/>
          <w:bCs/>
          <w:szCs w:val="20"/>
          <w:highlight w:val="lightGray"/>
          <w:lang w:bidi="hi-IN"/>
        </w:rPr>
        <w:br w:type="page"/>
      </w:r>
      <w:r>
        <w:rPr>
          <w:rFonts w:ascii="Arial" w:hAnsi="Arial" w:eastAsia="Times New Roman" w:cs="Arial"/>
          <w:b/>
          <w:bCs/>
          <w:sz w:val="20"/>
          <w:szCs w:val="20"/>
          <w:highlight w:val="lightGray"/>
          <w:lang w:bidi="hi-IN"/>
        </w:rPr>
        <w:t>PROYECTO DE CONTRATO</w:t>
      </w:r>
    </w:p>
    <w:p>
      <w:pPr>
        <w:widowControl w:val="0"/>
        <w:tabs>
          <w:tab w:val="left" w:pos="0"/>
          <w:tab w:val="left" w:pos="1044"/>
        </w:tabs>
        <w:suppressAutoHyphens/>
        <w:spacing w:after="0" w:line="240" w:lineRule="auto"/>
        <w:ind w:left="15" w:right="45"/>
        <w:jc w:val="center"/>
        <w:outlineLvl w:val="3"/>
        <w:rPr>
          <w:rFonts w:ascii="Arial" w:hAnsi="Arial" w:eastAsia="Times New Roman" w:cs="Arial"/>
          <w:b/>
          <w:bCs/>
          <w:sz w:val="18"/>
          <w:szCs w:val="20"/>
          <w:lang w:bidi="hi-IN"/>
        </w:rPr>
      </w:pPr>
    </w:p>
    <w:p>
      <w:pPr>
        <w:widowControl w:val="0"/>
        <w:tabs>
          <w:tab w:val="left" w:pos="0"/>
          <w:tab w:val="left" w:pos="1044"/>
        </w:tabs>
        <w:suppressAutoHyphens/>
        <w:spacing w:after="0" w:line="240" w:lineRule="auto"/>
        <w:ind w:left="15" w:right="45"/>
        <w:jc w:val="center"/>
        <w:outlineLvl w:val="3"/>
        <w:rPr>
          <w:rFonts w:ascii="Arial" w:hAnsi="Arial" w:eastAsia="Times New Roman" w:cs="Arial"/>
          <w:b/>
          <w:bCs/>
          <w:sz w:val="18"/>
          <w:szCs w:val="20"/>
          <w:lang w:bidi="hi-IN"/>
        </w:rPr>
      </w:pPr>
    </w:p>
    <w:p>
      <w:pPr>
        <w:widowControl w:val="0"/>
        <w:pBdr>
          <w:bottom w:val="single" w:color="auto" w:sz="12" w:space="1"/>
        </w:pBdr>
        <w:suppressAutoHyphens/>
        <w:spacing w:after="0" w:line="240" w:lineRule="auto"/>
        <w:jc w:val="both"/>
        <w:rPr>
          <w:rFonts w:ascii="Arial" w:hAnsi="Arial" w:eastAsia="Times New Roman" w:cs="Arial"/>
          <w:sz w:val="20"/>
          <w:szCs w:val="20"/>
          <w:lang w:val="es-ES" w:bidi="hi-IN"/>
        </w:rPr>
      </w:pPr>
      <w:r>
        <w:rPr>
          <w:rFonts w:ascii="Arial" w:hAnsi="Arial" w:eastAsia="Times New Roman" w:cs="Arial"/>
          <w:sz w:val="20"/>
          <w:szCs w:val="20"/>
          <w:lang w:val="es-ES" w:bidi="hi-IN"/>
        </w:rPr>
        <w:t xml:space="preserve">CONTRATO No. </w:t>
      </w:r>
      <w:r>
        <w:rPr>
          <w:rFonts w:ascii="Arial" w:hAnsi="Arial" w:eastAsia="Times New Roman" w:cs="Arial"/>
          <w:b/>
          <w:bCs/>
          <w:spacing w:val="-2"/>
          <w:kern w:val="32"/>
          <w:sz w:val="20"/>
          <w:szCs w:val="20"/>
          <w:lang w:val="es-ES" w:bidi="hi-IN"/>
        </w:rPr>
        <w:fldChar w:fldCharType="begin"/>
      </w:r>
      <w:r>
        <w:rPr>
          <w:rFonts w:ascii="Arial" w:hAnsi="Arial" w:eastAsia="Times New Roman" w:cs="Arial"/>
          <w:b/>
          <w:bCs/>
          <w:spacing w:val="-2"/>
          <w:kern w:val="32"/>
          <w:sz w:val="20"/>
          <w:szCs w:val="20"/>
          <w:lang w:val="es-ES" w:bidi="hi-IN"/>
        </w:rPr>
        <w:instrText xml:space="preserve"> MERGEFIELD contrato </w:instrText>
      </w:r>
      <w:r>
        <w:rPr>
          <w:rFonts w:ascii="Arial" w:hAnsi="Arial" w:eastAsia="Times New Roman" w:cs="Arial"/>
          <w:b/>
          <w:bCs/>
          <w:spacing w:val="-2"/>
          <w:kern w:val="32"/>
          <w:sz w:val="20"/>
          <w:szCs w:val="20"/>
          <w:lang w:val="es-ES" w:bidi="hi-IN"/>
        </w:rPr>
        <w:fldChar w:fldCharType="separate"/>
      </w:r>
      <w:r>
        <w:rPr>
          <w:rFonts w:ascii="Arial" w:hAnsi="Arial" w:eastAsia="Times New Roman" w:cs="Arial"/>
          <w:b/>
          <w:bCs/>
          <w:spacing w:val="-2"/>
          <w:kern w:val="32"/>
          <w:sz w:val="20"/>
          <w:szCs w:val="20"/>
          <w:lang w:val="es-ES" w:bidi="hi-IN"/>
        </w:rPr>
        <w:t>«contrato»</w:t>
      </w:r>
      <w:r>
        <w:rPr>
          <w:rFonts w:ascii="Arial" w:hAnsi="Arial" w:eastAsia="Times New Roman" w:cs="Arial"/>
          <w:b/>
          <w:bCs/>
          <w:spacing w:val="-2"/>
          <w:kern w:val="32"/>
          <w:sz w:val="20"/>
          <w:szCs w:val="20"/>
          <w:lang w:val="es-ES" w:bidi="hi-IN"/>
        </w:rPr>
        <w:fldChar w:fldCharType="end"/>
      </w:r>
      <w:r>
        <w:rPr>
          <w:rFonts w:ascii="Arial" w:hAnsi="Arial" w:eastAsia="Times New Roman" w:cs="Arial"/>
          <w:b/>
          <w:bCs/>
          <w:spacing w:val="-2"/>
          <w:kern w:val="32"/>
          <w:sz w:val="20"/>
          <w:szCs w:val="20"/>
          <w:lang w:val="es-ES" w:bidi="hi-IN"/>
        </w:rPr>
        <w:t xml:space="preserve">, </w:t>
      </w:r>
      <w:r>
        <w:rPr>
          <w:rFonts w:ascii="Arial" w:hAnsi="Arial" w:eastAsia="Times New Roman" w:cs="Arial"/>
          <w:sz w:val="20"/>
          <w:szCs w:val="20"/>
          <w:lang w:val="es-ES" w:bidi="hi-IN"/>
        </w:rPr>
        <w:t xml:space="preserve">QUE CELEBRA EL GOBIERNO AUTÓNOMO DESCENTRALIZADO MUNICIPAL DEL CANTÓN CUENCA CON EL  ING. </w:t>
      </w:r>
      <w:r>
        <w:rPr>
          <w:rFonts w:ascii="Arial" w:hAnsi="Arial" w:eastAsia="Times New Roman" w:cs="Arial"/>
          <w:b/>
          <w:bCs/>
          <w:spacing w:val="-2"/>
          <w:kern w:val="32"/>
          <w:sz w:val="20"/>
          <w:szCs w:val="20"/>
          <w:lang w:val="es-ES" w:bidi="hi-IN"/>
        </w:rPr>
        <w:fldChar w:fldCharType="begin"/>
      </w:r>
      <w:r>
        <w:rPr>
          <w:rFonts w:ascii="Arial" w:hAnsi="Arial" w:eastAsia="Times New Roman" w:cs="Arial"/>
          <w:b/>
          <w:bCs/>
          <w:spacing w:val="-2"/>
          <w:kern w:val="32"/>
          <w:sz w:val="20"/>
          <w:szCs w:val="20"/>
          <w:lang w:val="es-ES" w:bidi="hi-IN"/>
        </w:rPr>
        <w:instrText xml:space="preserve"> MERGEFIELD CONTRATISTA_ADJUDICADO </w:instrText>
      </w:r>
      <w:r>
        <w:rPr>
          <w:rFonts w:ascii="Arial" w:hAnsi="Arial" w:eastAsia="Times New Roman" w:cs="Arial"/>
          <w:b/>
          <w:bCs/>
          <w:spacing w:val="-2"/>
          <w:kern w:val="32"/>
          <w:sz w:val="20"/>
          <w:szCs w:val="20"/>
          <w:lang w:val="es-ES" w:bidi="hi-IN"/>
        </w:rPr>
        <w:fldChar w:fldCharType="separate"/>
      </w:r>
      <w:r>
        <w:rPr>
          <w:rFonts w:ascii="Arial" w:hAnsi="Arial" w:eastAsia="Times New Roman" w:cs="Arial"/>
          <w:b/>
          <w:bCs/>
          <w:spacing w:val="-2"/>
          <w:kern w:val="32"/>
          <w:sz w:val="20"/>
          <w:szCs w:val="20"/>
          <w:lang w:val="es-ES" w:bidi="hi-IN"/>
        </w:rPr>
        <w:t>«CONTRATISTA_ADJUDICADO»</w:t>
      </w:r>
      <w:r>
        <w:rPr>
          <w:rFonts w:ascii="Arial" w:hAnsi="Arial" w:eastAsia="Times New Roman" w:cs="Arial"/>
          <w:b/>
          <w:bCs/>
          <w:spacing w:val="-2"/>
          <w:kern w:val="32"/>
          <w:sz w:val="20"/>
          <w:szCs w:val="20"/>
          <w:lang w:val="es-ES" w:bidi="hi-IN"/>
        </w:rPr>
        <w:fldChar w:fldCharType="end"/>
      </w:r>
      <w:r>
        <w:rPr>
          <w:rFonts w:ascii="Arial" w:hAnsi="Arial" w:eastAsia="Times New Roman" w:cs="Arial"/>
          <w:sz w:val="20"/>
          <w:szCs w:val="20"/>
          <w:lang w:val="es-ES" w:bidi="hi-IN"/>
        </w:rPr>
        <w:t xml:space="preserve">, PARA REALIZAR LA: </w:t>
      </w:r>
      <w:r>
        <w:rPr>
          <w:rFonts w:ascii="Arial" w:hAnsi="Arial" w:eastAsia="Times New Roman" w:cs="Arial"/>
          <w:b/>
          <w:bCs/>
          <w:caps/>
          <w:sz w:val="20"/>
          <w:szCs w:val="20"/>
          <w:lang w:eastAsia="hi-IN" w:bidi="hi-IN"/>
        </w:rPr>
        <w:t xml:space="preserve">OBRAS HIDROSANITARIAS, CANALIZACIÓN TELEFÓNICA, CANALIZACIÓN ELÉCTRICA, MUROS, VEREDAS, BORDILLOS, PAVIMENTACIÓN FLEXIBLE, SEÑALIZACIÓN, MITIGACIÓN DE IMPACTOS AMBIENTALES, MUROS DE CONTENCION, SUBDREN Y SEGURIDAD VIAL DE LA CALLE DE LAS AREPAS ENTRE SIN NOMBRE Y SIN NOMBRE; </w:t>
      </w:r>
      <w:r>
        <w:rPr>
          <w:rFonts w:ascii="Arial" w:hAnsi="Arial" w:eastAsia="Times New Roman" w:cs="Arial"/>
          <w:b/>
          <w:sz w:val="20"/>
          <w:lang w:bidi="hi-IN"/>
        </w:rPr>
        <w:t xml:space="preserve">Y LOS SIGUIENTES PROYECTOS DEL CONDOMINO LA FLORESTA: </w:t>
      </w:r>
      <w:r>
        <w:rPr>
          <w:rFonts w:ascii="Arial" w:hAnsi="Arial" w:eastAsia="Times New Roman" w:cs="Arial"/>
          <w:b/>
          <w:bCs/>
          <w:caps/>
          <w:sz w:val="20"/>
          <w:szCs w:val="20"/>
          <w:lang w:eastAsia="hi-IN" w:bidi="hi-IN"/>
        </w:rPr>
        <w:t>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r>
        <w:rPr>
          <w:rFonts w:ascii="Arial" w:hAnsi="Arial" w:eastAsia="Times New Roman" w:cs="Arial"/>
          <w:b/>
          <w:bCs/>
          <w:spacing w:val="-2"/>
          <w:kern w:val="32"/>
          <w:sz w:val="20"/>
          <w:szCs w:val="20"/>
          <w:lang w:val="es-ES" w:bidi="hi-IN"/>
        </w:rPr>
        <w:t>.</w:t>
      </w:r>
    </w:p>
    <w:p>
      <w:pPr>
        <w:widowControl w:val="0"/>
        <w:tabs>
          <w:tab w:val="left" w:pos="-720"/>
        </w:tabs>
        <w:suppressAutoHyphens/>
        <w:spacing w:after="0" w:line="240" w:lineRule="auto"/>
        <w:ind w:right="-119"/>
        <w:jc w:val="both"/>
        <w:rPr>
          <w:rFonts w:ascii="Arial" w:hAnsi="Arial" w:eastAsia="Times New Roman" w:cs="Arial"/>
          <w:b/>
          <w:bCs/>
          <w:spacing w:val="-2"/>
          <w:sz w:val="20"/>
          <w:szCs w:val="20"/>
          <w:lang w:val="es-ES" w:bidi="hi-IN"/>
        </w:rPr>
      </w:pPr>
    </w:p>
    <w:p>
      <w:pPr>
        <w:widowControl w:val="0"/>
        <w:tabs>
          <w:tab w:val="left" w:pos="-720"/>
        </w:tabs>
        <w:suppressAutoHyphens/>
        <w:spacing w:after="0" w:line="240" w:lineRule="auto"/>
        <w:ind w:right="-119"/>
        <w:jc w:val="both"/>
        <w:rPr>
          <w:rFonts w:ascii="Arial" w:hAnsi="Arial" w:eastAsia="Times New Roman" w:cs="Arial"/>
          <w:b/>
          <w:bCs/>
          <w:spacing w:val="-2"/>
          <w:sz w:val="20"/>
          <w:szCs w:val="20"/>
          <w:lang w:val="es-ES" w:bidi="hi-IN"/>
        </w:rPr>
      </w:pPr>
    </w:p>
    <w:p>
      <w:pPr>
        <w:widowControl w:val="0"/>
        <w:tabs>
          <w:tab w:val="left" w:pos="-720"/>
        </w:tabs>
        <w:suppressAutoHyphens/>
        <w:spacing w:after="0" w:line="240" w:lineRule="auto"/>
        <w:ind w:right="-119"/>
        <w:jc w:val="both"/>
        <w:rPr>
          <w:rFonts w:ascii="Arial" w:hAnsi="Arial" w:eastAsia="Times New Roman" w:cs="Arial"/>
          <w:b/>
          <w:bCs/>
          <w:spacing w:val="-2"/>
          <w:sz w:val="20"/>
          <w:szCs w:val="20"/>
          <w:lang w:val="es-ES" w:bidi="hi-IN"/>
        </w:rPr>
      </w:pPr>
      <w:r>
        <w:rPr>
          <w:rFonts w:ascii="Arial" w:hAnsi="Arial" w:eastAsia="Times New Roman" w:cs="Arial"/>
          <w:b/>
          <w:bCs/>
          <w:spacing w:val="-2"/>
          <w:sz w:val="20"/>
          <w:szCs w:val="20"/>
          <w:lang w:val="es-ES" w:bidi="hi-IN"/>
        </w:rPr>
        <w:t>COMPARECIENTES</w:t>
      </w:r>
    </w:p>
    <w:p>
      <w:pPr>
        <w:widowControl w:val="0"/>
        <w:tabs>
          <w:tab w:val="left" w:pos="-720"/>
        </w:tabs>
        <w:suppressAutoHyphens/>
        <w:spacing w:after="0" w:line="240" w:lineRule="auto"/>
        <w:ind w:right="-119"/>
        <w:jc w:val="both"/>
        <w:rPr>
          <w:rFonts w:ascii="Arial" w:hAnsi="Arial" w:eastAsia="Times New Roman" w:cs="Arial"/>
          <w:spacing w:val="-2"/>
          <w:sz w:val="20"/>
          <w:szCs w:val="20"/>
          <w:lang w:val="es-ES" w:bidi="hi-IN"/>
        </w:rPr>
      </w:pPr>
    </w:p>
    <w:p>
      <w:pPr>
        <w:widowControl w:val="0"/>
        <w:tabs>
          <w:tab w:val="left" w:pos="0"/>
          <w:tab w:val="left" w:pos="1044"/>
        </w:tabs>
        <w:suppressAutoHyphens/>
        <w:spacing w:after="0" w:line="240" w:lineRule="auto"/>
        <w:ind w:left="15" w:right="45"/>
        <w:jc w:val="both"/>
        <w:outlineLvl w:val="3"/>
        <w:rPr>
          <w:rFonts w:ascii="Arial" w:hAnsi="Arial" w:eastAsia="Times New Roman" w:cs="Arial"/>
          <w:spacing w:val="-2"/>
          <w:sz w:val="20"/>
          <w:szCs w:val="20"/>
          <w:lang w:val="es-ES" w:bidi="hi-IN"/>
        </w:rPr>
      </w:pPr>
      <w:r>
        <w:rPr>
          <w:rFonts w:ascii="Arial" w:hAnsi="Arial" w:eastAsia="Times New Roman" w:cs="Arial"/>
          <w:spacing w:val="-2"/>
          <w:sz w:val="20"/>
          <w:szCs w:val="20"/>
          <w:lang w:val="es-ES" w:bidi="hi-IN"/>
        </w:rPr>
        <w:t xml:space="preserve">En la ciudad de Cuenca a los _______ días del mes de _________ del dos mil diecisiete, </w:t>
      </w:r>
      <w:r>
        <w:rPr>
          <w:rFonts w:ascii="Arial" w:hAnsi="Arial" w:eastAsia="Times New Roman" w:cs="Arial"/>
          <w:spacing w:val="-2"/>
          <w:sz w:val="20"/>
          <w:szCs w:val="20"/>
          <w:lang w:eastAsia="hi-IN" w:bidi="hi-IN"/>
        </w:rPr>
        <w:t xml:space="preserve">comparecen a la celebración del presente contrato, por una parte el Gobierno Autónomo Descentralizado Municipal del cantón Cuenca, representado por el </w:t>
      </w:r>
      <w:r>
        <w:rPr>
          <w:rFonts w:ascii="Arial" w:hAnsi="Arial" w:eastAsia="Times New Roman" w:cs="Arial"/>
          <w:b/>
          <w:spacing w:val="-2"/>
          <w:sz w:val="20"/>
          <w:szCs w:val="20"/>
          <w:lang w:eastAsia="hi-IN" w:bidi="hi-IN"/>
        </w:rPr>
        <w:t>Ing. Marcelo Cabrera Palacios,</w:t>
      </w:r>
      <w:r>
        <w:rPr>
          <w:rFonts w:ascii="Arial" w:hAnsi="Arial" w:eastAsia="Times New Roman" w:cs="Arial"/>
          <w:spacing w:val="-2"/>
          <w:sz w:val="20"/>
          <w:szCs w:val="20"/>
          <w:lang w:eastAsia="hi-IN" w:bidi="hi-IN"/>
        </w:rPr>
        <w:t xml:space="preserve"> Alcalde del Cantón Cuenca</w:t>
      </w:r>
      <w:r>
        <w:rPr>
          <w:rFonts w:ascii="Arial" w:hAnsi="Arial" w:eastAsia="Times New Roman" w:cs="Arial"/>
          <w:spacing w:val="-2"/>
          <w:sz w:val="16"/>
          <w:szCs w:val="20"/>
          <w:lang w:eastAsia="hi-IN" w:bidi="hi-IN"/>
        </w:rPr>
        <w:t xml:space="preserve">, </w:t>
      </w:r>
      <w:r>
        <w:rPr>
          <w:rFonts w:ascii="Arial" w:hAnsi="Arial" w:eastAsia="Times New Roman" w:cs="Arial"/>
          <w:spacing w:val="-2"/>
          <w:sz w:val="20"/>
          <w:szCs w:val="20"/>
          <w:lang w:eastAsia="hi-IN" w:bidi="hi-IN"/>
        </w:rPr>
        <w:t xml:space="preserve"> a quien en adelante se le denominará CONTRATANTE</w:t>
      </w:r>
      <w:r>
        <w:rPr>
          <w:rFonts w:ascii="Arial" w:hAnsi="Arial" w:eastAsia="Times New Roman" w:cs="Arial"/>
          <w:spacing w:val="-3"/>
          <w:sz w:val="20"/>
          <w:szCs w:val="20"/>
          <w:lang w:eastAsia="hi-IN" w:bidi="hi-IN"/>
        </w:rPr>
        <w:t>; y, por otra el Ing. ___________</w:t>
      </w:r>
      <w:r>
        <w:rPr>
          <w:rFonts w:ascii="Arial" w:hAnsi="Arial" w:eastAsia="Times New Roman" w:cs="Arial"/>
          <w:b/>
          <w:bCs/>
          <w:spacing w:val="-2"/>
          <w:kern w:val="32"/>
          <w:sz w:val="20"/>
          <w:szCs w:val="20"/>
          <w:lang w:val="es-ES" w:bidi="hi-IN"/>
        </w:rPr>
        <w:t>,</w:t>
      </w:r>
      <w:r>
        <w:rPr>
          <w:rFonts w:ascii="Arial" w:hAnsi="Arial" w:eastAsia="Times New Roman" w:cs="Arial"/>
          <w:spacing w:val="-3"/>
          <w:sz w:val="20"/>
          <w:szCs w:val="20"/>
          <w:lang w:eastAsia="hi-IN" w:bidi="hi-IN"/>
        </w:rPr>
        <w:t xml:space="preserve"> con RUC </w:t>
      </w:r>
      <w:r>
        <w:rPr>
          <w:rFonts w:ascii="Arial" w:hAnsi="Arial" w:eastAsia="Times New Roman" w:cs="Arial"/>
          <w:b/>
          <w:bCs/>
          <w:spacing w:val="-2"/>
          <w:kern w:val="32"/>
          <w:sz w:val="20"/>
          <w:szCs w:val="20"/>
          <w:lang w:val="es-ES" w:bidi="hi-IN"/>
        </w:rPr>
        <w:t>_______,</w:t>
      </w:r>
      <w:r>
        <w:rPr>
          <w:rFonts w:ascii="Arial" w:hAnsi="Arial" w:eastAsia="Times New Roman" w:cs="Arial"/>
          <w:spacing w:val="-3"/>
          <w:sz w:val="20"/>
          <w:szCs w:val="20"/>
          <w:lang w:eastAsia="hi-IN" w:bidi="hi-IN"/>
        </w:rPr>
        <w:t xml:space="preserve"> a quien en adelante se le denominará CONTRATISTA. Las partes se obligan en virtud del presente contrato, al tenor de las siguientes cláusulas: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Primera.- ANTECEDENTES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ind w:right="45"/>
        <w:jc w:val="both"/>
        <w:rPr>
          <w:rFonts w:ascii="Arial" w:hAnsi="Arial" w:cs="Arial"/>
          <w:spacing w:val="-2"/>
          <w:sz w:val="20"/>
        </w:rPr>
      </w:pPr>
      <w:r>
        <w:rPr>
          <w:rFonts w:ascii="Arial" w:hAnsi="Arial" w:cs="Arial"/>
          <w:b/>
          <w:sz w:val="20"/>
        </w:rPr>
        <w:t>1.1</w:t>
      </w:r>
      <w:r>
        <w:rPr>
          <w:rFonts w:ascii="Arial" w:hAnsi="Arial" w:cs="Arial"/>
          <w:sz w:val="20"/>
        </w:rPr>
        <w:t xml:space="preserve">Con fecha 26 de octubre de 2015, se firmó el Contrato de Préstamo entre la Corporación Andina de Fomento CAF y el </w:t>
      </w:r>
      <w:r>
        <w:rPr>
          <w:rFonts w:ascii="Arial" w:hAnsi="Arial" w:cs="Arial"/>
          <w:spacing w:val="-2"/>
          <w:sz w:val="20"/>
        </w:rPr>
        <w:t xml:space="preserve">Gobierno Autónomo Descentralizado Municipal del cantón Cuenca, con garantía de la República del Ecuador. </w:t>
      </w:r>
    </w:p>
    <w:p>
      <w:pPr>
        <w:tabs>
          <w:tab w:val="left" w:pos="-540"/>
        </w:tabs>
        <w:ind w:right="45"/>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 xml:space="preserve">1.2 </w:t>
      </w:r>
      <w:r>
        <w:rPr>
          <w:rFonts w:ascii="Arial" w:hAnsi="Arial" w:eastAsia="Times New Roman" w:cs="Arial"/>
          <w:sz w:val="20"/>
          <w:szCs w:val="20"/>
          <w:lang w:eastAsia="hi-IN" w:bidi="hi-IN"/>
        </w:rPr>
        <w:t xml:space="preserve">Mediante oficio número CAF – 2016 – 142, de fecha 17 de marzo de 2016, suscrito por la Ing. Constanza Calderón A., Director-Representante, Ecuador Enc., la </w:t>
      </w:r>
      <w:r>
        <w:rPr>
          <w:rFonts w:ascii="Arial" w:hAnsi="Arial" w:cs="Arial"/>
          <w:sz w:val="20"/>
        </w:rPr>
        <w:t>Corporación Andina de Fomento CAF</w:t>
      </w:r>
      <w:r>
        <w:rPr>
          <w:rFonts w:ascii="Arial" w:hAnsi="Arial" w:eastAsia="Times New Roman" w:cs="Arial"/>
          <w:sz w:val="20"/>
          <w:szCs w:val="20"/>
          <w:lang w:eastAsia="hi-IN" w:bidi="hi-IN"/>
        </w:rPr>
        <w:t xml:space="preserve">emite la no-objeción al </w:t>
      </w:r>
      <w:r>
        <w:rPr>
          <w:rFonts w:ascii="Arial" w:hAnsi="Arial" w:cs="Arial"/>
          <w:sz w:val="20"/>
          <w:szCs w:val="20"/>
        </w:rPr>
        <w:t xml:space="preserve">REGLAMENTO DE ADJUDICACIÓN DE OBRAS Y FISCALIZACIÓN FINANCIADOS CON RECURSOS CAF PARA EL PROGRAMA BARRIOS PARA MEJOR VIVIR FASE II. </w:t>
      </w:r>
    </w:p>
    <w:p>
      <w:pPr>
        <w:tabs>
          <w:tab w:val="left" w:pos="-540"/>
        </w:tabs>
        <w:suppressAutoHyphens/>
        <w:spacing w:after="0" w:line="240" w:lineRule="auto"/>
        <w:ind w:left="15" w:right="45"/>
        <w:jc w:val="both"/>
        <w:rPr>
          <w:rFonts w:ascii="Arial" w:hAnsi="Arial" w:eastAsia="Times New Roman" w:cs="Arial"/>
          <w:sz w:val="16"/>
          <w:szCs w:val="20"/>
          <w:lang w:eastAsia="hi-IN" w:bidi="hi-IN"/>
        </w:rPr>
      </w:pPr>
      <w:r>
        <w:rPr>
          <w:rFonts w:ascii="Arial" w:hAnsi="Arial" w:eastAsia="Times New Roman" w:cs="Arial"/>
          <w:b/>
          <w:spacing w:val="-2"/>
          <w:sz w:val="20"/>
          <w:szCs w:val="20"/>
          <w:lang w:eastAsia="hi-IN" w:bidi="hi-IN"/>
        </w:rPr>
        <w:t xml:space="preserve">1.3 </w:t>
      </w:r>
      <w:r>
        <w:rPr>
          <w:rFonts w:ascii="Arial" w:hAnsi="Arial" w:eastAsia="Times New Roman" w:cs="Arial"/>
          <w:spacing w:val="-2"/>
          <w:sz w:val="20"/>
          <w:szCs w:val="20"/>
          <w:lang w:eastAsia="hi-IN" w:bidi="hi-IN"/>
        </w:rPr>
        <w:t>De conformidad con los artículos 3 de la Ley Orgánica del Sistema Nacional de Contratación Pública –LOSNCP-, 2 de su Reglamento General -RGLOSNCP-, el Contrato de Préstamo entre la CORPORACION ANDINA DE FOMENTO Y GOBIERNO AUTONOMO DESCENTRALIZADO MUNICIPAL DEL CANTON CUENCA,</w:t>
      </w:r>
      <w:r>
        <w:rPr>
          <w:rFonts w:ascii="Arial" w:hAnsi="Arial" w:eastAsia="Times New Roman" w:cs="Arial"/>
          <w:sz w:val="20"/>
          <w:szCs w:val="20"/>
          <w:lang w:eastAsia="hi-IN" w:bidi="hi-IN"/>
        </w:rPr>
        <w:t xml:space="preserve"> contempla la ejecución de: </w:t>
      </w:r>
      <w:r>
        <w:rPr>
          <w:rFonts w:ascii="Arial" w:hAnsi="Arial" w:eastAsia="Times New Roman" w:cs="Arial"/>
          <w:b/>
          <w:bCs/>
          <w:caps/>
          <w:sz w:val="20"/>
          <w:szCs w:val="20"/>
          <w:lang w:eastAsia="hi-IN" w:bidi="hi-IN"/>
        </w:rPr>
        <w:t xml:space="preserve">OBRAS HIDROSANITARIAS, CANALIZACIÓN TELEFÓNICA, CANALIZACIÓN ELÉCTRICA, MUROS, VEREDAS, BORDILLOS, PAVIMENTACIÓN FLEXIBLE, SEÑALIZACIÓN, MITIGACIÓN DE IMPACTOS AMBIENTALES, MUROS DE CONTENCION, SUBDREN Y SEGURIDAD VIAL DE LA CALLE DE LAS AREPAS ENTRE SIN NOMBRE Y SIN NOMBRE; </w:t>
      </w:r>
      <w:r>
        <w:rPr>
          <w:rFonts w:ascii="Arial" w:hAnsi="Arial" w:eastAsia="Times New Roman" w:cs="Arial"/>
          <w:b/>
          <w:sz w:val="20"/>
          <w:lang w:bidi="hi-IN"/>
        </w:rPr>
        <w:t xml:space="preserve">Y LOS SIGUIENTES PROYECTOS DEL CONDOMINO LA FLORESTA: </w:t>
      </w:r>
      <w:r>
        <w:rPr>
          <w:rFonts w:ascii="Arial" w:hAnsi="Arial" w:eastAsia="Times New Roman" w:cs="Arial"/>
          <w:b/>
          <w:bCs/>
          <w:caps/>
          <w:sz w:val="20"/>
          <w:szCs w:val="20"/>
          <w:lang w:eastAsia="hi-IN" w:bidi="hi-IN"/>
        </w:rPr>
        <w:t>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r>
        <w:rPr>
          <w:rFonts w:ascii="Arial" w:hAnsi="Arial" w:eastAsia="Times New Roman" w:cs="Arial"/>
          <w:b/>
          <w:sz w:val="20"/>
          <w:szCs w:val="20"/>
          <w:lang w:eastAsia="hi-IN" w:bidi="hi-IN"/>
        </w:rPr>
        <w:t>.</w:t>
      </w:r>
    </w:p>
    <w:p>
      <w:pPr>
        <w:tabs>
          <w:tab w:val="left" w:pos="-540"/>
        </w:tabs>
        <w:suppressAutoHyphens/>
        <w:spacing w:after="0" w:line="240" w:lineRule="auto"/>
        <w:ind w:left="15" w:right="45"/>
        <w:jc w:val="both"/>
        <w:rPr>
          <w:rFonts w:ascii="Arial" w:hAnsi="Arial" w:eastAsia="Times New Roman" w:cs="Arial"/>
          <w:sz w:val="20"/>
          <w:szCs w:val="20"/>
          <w:lang w:val="es-ES" w:eastAsia="hi-IN" w:bidi="hi-IN"/>
        </w:rPr>
      </w:pPr>
    </w:p>
    <w:p>
      <w:pPr>
        <w:tabs>
          <w:tab w:val="left" w:pos="-540"/>
        </w:tabs>
        <w:suppressAutoHyphens/>
        <w:spacing w:after="0" w:line="240" w:lineRule="auto"/>
        <w:ind w:left="15" w:right="45"/>
        <w:jc w:val="both"/>
        <w:rPr>
          <w:rFonts w:ascii="Arial" w:hAnsi="Arial" w:eastAsia="Times New Roman" w:cs="Arial"/>
          <w:b/>
          <w:sz w:val="20"/>
          <w:szCs w:val="20"/>
          <w:lang w:eastAsia="hi-IN" w:bidi="hi-IN"/>
        </w:rPr>
      </w:pPr>
      <w:r>
        <w:rPr>
          <w:rFonts w:ascii="Arial" w:hAnsi="Arial" w:eastAsia="Times New Roman" w:cs="Arial"/>
          <w:b/>
          <w:sz w:val="20"/>
          <w:szCs w:val="20"/>
          <w:lang w:eastAsia="hi-IN" w:bidi="hi-IN"/>
        </w:rPr>
        <w:t xml:space="preserve">1.4. </w:t>
      </w:r>
      <w:r>
        <w:rPr>
          <w:rFonts w:ascii="Arial" w:hAnsi="Arial" w:eastAsia="Times New Roman" w:cs="Arial"/>
          <w:sz w:val="20"/>
          <w:szCs w:val="20"/>
          <w:lang w:eastAsia="hi-IN" w:bidi="hi-IN"/>
        </w:rPr>
        <w:t xml:space="preserve">Previo los informes y los estudios respectivos, la Comisión Administrativa de Evaluación y Adjudicación de la CONTRATANTE resolvió aprobar la contratación que tiene por </w:t>
      </w:r>
      <w:r>
        <w:rPr>
          <w:rFonts w:ascii="Arial" w:hAnsi="Arial" w:eastAsia="Times New Roman" w:cs="Arial"/>
          <w:b/>
          <w:bCs/>
          <w:caps/>
          <w:sz w:val="20"/>
          <w:szCs w:val="20"/>
          <w:lang w:eastAsia="hi-IN" w:bidi="hi-IN"/>
        </w:rPr>
        <w:t xml:space="preserve">OBRAS HIDROSANITARIAS, CANALIZACIÓN TELEFÓNICA, CANALIZACIÓN ELÉCTRICA, MUROS, VEREDAS, BORDILLOS, PAVIMENTACIÓN FLEXIBLE, SEÑALIZACIÓN, MITIGACIÓN DE IMPACTOS AMBIENTALES, MUROS DE CONTENCION, SUBDREN Y SEGURIDAD VIAL DE LA CALLE DE LAS AREPAS ENTRE SIN NOMBRE Y SIN NOMBRE; </w:t>
      </w:r>
      <w:r>
        <w:rPr>
          <w:rFonts w:ascii="Arial" w:hAnsi="Arial" w:eastAsia="Times New Roman" w:cs="Arial"/>
          <w:b/>
          <w:sz w:val="20"/>
          <w:lang w:bidi="hi-IN"/>
        </w:rPr>
        <w:t xml:space="preserve">Y LOS SIGUIENTES PROYECTOS DEL CONDOMINO LA FLORESTA: </w:t>
      </w:r>
      <w:r>
        <w:rPr>
          <w:rFonts w:ascii="Arial" w:hAnsi="Arial" w:eastAsia="Times New Roman" w:cs="Arial"/>
          <w:b/>
          <w:bCs/>
          <w:caps/>
          <w:sz w:val="20"/>
          <w:szCs w:val="20"/>
          <w:lang w:eastAsia="hi-IN" w:bidi="hi-IN"/>
        </w:rPr>
        <w:t>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ab/>
      </w:r>
    </w:p>
    <w:p>
      <w:pPr>
        <w:tabs>
          <w:tab w:val="left" w:pos="1584"/>
          <w:tab w:val="left" w:pos="8116"/>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1.5.</w:t>
      </w:r>
      <w:r>
        <w:rPr>
          <w:rFonts w:ascii="Arial" w:hAnsi="Arial" w:eastAsia="Times New Roman" w:cs="Arial"/>
          <w:spacing w:val="-2"/>
          <w:sz w:val="20"/>
          <w:szCs w:val="20"/>
          <w:lang w:eastAsia="hi-IN" w:bidi="hi-IN"/>
        </w:rPr>
        <w:t xml:space="preserve"> Se cuenta con la existencia y suficiente disponibilidad de fondos en la partida presupuestaria No.</w:t>
      </w:r>
      <w:r>
        <w:rPr>
          <w:rFonts w:ascii="Arial" w:hAnsi="Arial" w:eastAsia="Times New Roman" w:cs="Arial"/>
          <w:spacing w:val="-2"/>
          <w:sz w:val="20"/>
          <w:szCs w:val="20"/>
          <w:highlight w:val="yellow"/>
          <w:lang w:eastAsia="hi-IN" w:bidi="hi-IN"/>
        </w:rPr>
        <w:t>7.3.36.5.01.04.16.01, denominada "Barrio para Mejor Vivir II" (código POA 154)</w:t>
      </w:r>
      <w:r>
        <w:rPr>
          <w:rFonts w:ascii="Arial" w:hAnsi="Arial" w:eastAsia="Times New Roman" w:cs="Arial"/>
          <w:spacing w:val="-2"/>
          <w:sz w:val="20"/>
          <w:szCs w:val="20"/>
          <w:lang w:eastAsia="hi-IN" w:bidi="hi-IN"/>
        </w:rPr>
        <w:t xml:space="preserve">, conforme consta en la certificación conferida por la Econ. María Fernanda Vintimilla Alvear, Directora General Financiera del Gobierno Autónomo Descentralizado Municipal del cantón Cuenca, mediante oficio No. </w:t>
      </w:r>
      <w:r>
        <w:rPr>
          <w:rFonts w:ascii="Arial" w:hAnsi="Arial" w:eastAsia="Times New Roman" w:cs="Arial"/>
          <w:spacing w:val="-2"/>
          <w:sz w:val="20"/>
          <w:szCs w:val="20"/>
          <w:highlight w:val="yellow"/>
          <w:lang w:eastAsia="hi-IN" w:bidi="hi-IN"/>
        </w:rPr>
        <w:t>DF-2195-2018, de fecha 17</w:t>
      </w:r>
      <w:r>
        <w:rPr>
          <w:rFonts w:ascii="Arial" w:hAnsi="Arial" w:eastAsia="Times New Roman" w:cs="Arial"/>
          <w:bCs/>
          <w:spacing w:val="-2"/>
          <w:kern w:val="32"/>
          <w:sz w:val="20"/>
          <w:szCs w:val="20"/>
          <w:highlight w:val="yellow"/>
          <w:lang w:val="es-ES" w:bidi="hi-IN"/>
        </w:rPr>
        <w:t xml:space="preserve"> de julio de 2018</w:t>
      </w:r>
      <w:r>
        <w:rPr>
          <w:rFonts w:ascii="Arial" w:hAnsi="Arial" w:eastAsia="Times New Roman" w:cs="Arial"/>
          <w:bCs/>
          <w:spacing w:val="-2"/>
          <w:kern w:val="32"/>
          <w:sz w:val="20"/>
          <w:szCs w:val="20"/>
          <w:lang w:val="es-ES" w:bidi="hi-IN"/>
        </w:rPr>
        <w:t>.</w:t>
      </w:r>
    </w:p>
    <w:p>
      <w:pPr>
        <w:tabs>
          <w:tab w:val="left" w:pos="1584"/>
          <w:tab w:val="left" w:pos="8116"/>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1.6.</w:t>
      </w:r>
      <w:r>
        <w:rPr>
          <w:rFonts w:ascii="Arial" w:hAnsi="Arial" w:eastAsia="Times New Roman" w:cs="Arial"/>
          <w:spacing w:val="-2"/>
          <w:sz w:val="20"/>
          <w:szCs w:val="20"/>
          <w:lang w:eastAsia="hi-IN" w:bidi="hi-IN"/>
        </w:rPr>
        <w:t xml:space="preserve"> Luego del proceso correspondiente, el Ing. Marcelo Cabrera Palacios, en calidad de Alcalde del Gobierno Autónomo Descentralizado Municipal del cantón Cuenca, mediante resolución de fecha __ de ___ de 2018, adjudicó la ejecución de la obra </w:t>
      </w:r>
      <w:r>
        <w:rPr>
          <w:rFonts w:ascii="Arial" w:hAnsi="Arial" w:eastAsia="Times New Roman" w:cs="Arial"/>
          <w:sz w:val="20"/>
          <w:szCs w:val="20"/>
          <w:lang w:eastAsia="hi-IN" w:bidi="hi-IN"/>
        </w:rPr>
        <w:t xml:space="preserve">por  </w:t>
      </w:r>
      <w:r>
        <w:rPr>
          <w:rFonts w:ascii="Arial" w:hAnsi="Arial" w:eastAsia="Times New Roman" w:cs="Arial"/>
          <w:b/>
          <w:sz w:val="20"/>
          <w:szCs w:val="20"/>
          <w:lang w:eastAsia="hi-IN" w:bidi="hi-IN"/>
        </w:rPr>
        <w:t xml:space="preserve">OBRAS HIDROSANITARIAS, CANALIZACIÓN TELEFÓNICA, CANALIZACIÓN ELÉCTRICA, MUROS, VEREDAS, BORDILLOS, PAVIMENTACIÓN FLEXIBLE, SEÑALIZACIÓN, MITIGACIÓN DE IMPACTOS AMBIENTALES, MUROS DE CONTENCION, SUBDREN Y SEGURIDAD VIAL DE LA CALLE DE LAS AREPAS ENTRE SIN NOMBRE Y SIN NOMBRE; </w:t>
      </w:r>
      <w:r>
        <w:rPr>
          <w:rFonts w:ascii="Arial" w:hAnsi="Arial" w:eastAsia="Times New Roman" w:cs="Arial"/>
          <w:b/>
          <w:sz w:val="20"/>
          <w:lang w:bidi="hi-IN"/>
        </w:rPr>
        <w:t xml:space="preserve">Y LOS SIGUIENTES PROYECTOS DEL CONDOMINO LA FLORESTA: </w:t>
      </w:r>
      <w:r>
        <w:rPr>
          <w:rFonts w:ascii="Arial" w:hAnsi="Arial" w:eastAsia="Times New Roman" w:cs="Arial"/>
          <w:b/>
          <w:sz w:val="20"/>
          <w:szCs w:val="20"/>
          <w:lang w:eastAsia="hi-IN" w:bidi="hi-IN"/>
        </w:rPr>
        <w:t xml:space="preserve">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 </w:t>
      </w:r>
      <w:r>
        <w:rPr>
          <w:rFonts w:ascii="Arial" w:hAnsi="Arial" w:eastAsia="Times New Roman" w:cs="Arial"/>
          <w:spacing w:val="-2"/>
          <w:sz w:val="20"/>
          <w:szCs w:val="20"/>
          <w:lang w:eastAsia="hi-IN" w:bidi="hi-IN"/>
        </w:rPr>
        <w:t xml:space="preserve">al oferente </w:t>
      </w:r>
      <w:r>
        <w:rPr>
          <w:rFonts w:ascii="Arial" w:hAnsi="Arial" w:eastAsia="Times New Roman" w:cs="Arial"/>
          <w:spacing w:val="-3"/>
          <w:sz w:val="20"/>
          <w:szCs w:val="20"/>
          <w:lang w:eastAsia="hi-IN" w:bidi="hi-IN"/>
        </w:rPr>
        <w:t>Ing. __________, de acuerdo con la oferta presentada y a la documentación contenida en la misma, por un monto de _______________________ CON __/100 DOLARES DE ESTADOS UNIDOS DE AMÉRICA ($______.__), más IVA; y, un plazo de ________ ( __ ) días.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Segunda.- DOCUMENTOS DEL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2.1 </w:t>
      </w:r>
      <w:r>
        <w:rPr>
          <w:rFonts w:ascii="Arial" w:hAnsi="Arial" w:eastAsia="Times New Roman" w:cs="Arial"/>
          <w:spacing w:val="-2"/>
          <w:sz w:val="20"/>
          <w:szCs w:val="20"/>
          <w:lang w:eastAsia="hi-IN" w:bidi="hi-IN"/>
        </w:rPr>
        <w:t xml:space="preserve">Forman parte integrante del contrato los siguientes documentos: </w:t>
      </w: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a) Las especificaciones técnicas, planos y diseños del proyecto que corresponden a la obra contratada.</w:t>
      </w: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b) Las Condiciones Generales de los Contratos de Ejecución de Obras para Obras de Pavimento Flexible, cuyo presupuesto referencial sea de hasta $ 2,000,0000.00 enmarcadas bajo financiamiento de la CAF.</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c) Los documentos presentados por el CONTRATISTA, en la convocatoria.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d) Las garantías presentadas por el CONTRATISTA.</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 La resolución de adjudicación.</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f) Las certificación presupuestaria de la Dirección Financiera del Gobierno Autónomo Descentralizado Municipal del cantón Cuenca, que acredita la existencia de la partida presupuestaria y disponibilidad de recursos, para el cumplimiento de las obligaciones derivadas del contrato.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g) Certificado del pago de la patente municipal para el presente año.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h) Declaratoria de responsabilidad Ambiental de las obras del Programa de pavimentación (CGA).</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i) Certificado de pago de costos de levantamiento y edición de pliegos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j) Copia de la cuenta bancaria del contratista para depósitos.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k) Constancia de verificación en la página institucional del SERCOP respecto de que el contratista no está incluido </w:t>
      </w:r>
      <w:r>
        <w:t xml:space="preserve">dentro del Registro de Incumplimientos de Contratistas Incumplidos y Adjudicatarios Fallidos   </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 xml:space="preserve">Cláusula Tercera.- OBJETO DEL CONTRATO </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z w:val="20"/>
          <w:szCs w:val="20"/>
          <w:lang w:eastAsia="hi-IN" w:bidi="hi-IN"/>
        </w:rPr>
      </w:pPr>
      <w:r>
        <w:rPr>
          <w:rFonts w:ascii="Arial" w:hAnsi="Arial" w:eastAsia="Times New Roman" w:cs="Arial"/>
          <w:b/>
          <w:sz w:val="20"/>
          <w:szCs w:val="20"/>
          <w:lang w:eastAsia="hi-IN" w:bidi="hi-IN"/>
        </w:rPr>
        <w:t>3.1</w:t>
      </w:r>
      <w:r>
        <w:rPr>
          <w:rFonts w:ascii="Arial" w:hAnsi="Arial" w:eastAsia="Times New Roman" w:cs="Arial"/>
          <w:sz w:val="20"/>
          <w:szCs w:val="20"/>
          <w:lang w:eastAsia="hi-IN" w:bidi="hi-IN"/>
        </w:rPr>
        <w:t xml:space="preserve"> El CONTRATISTA se obliga para con la CONTRATANTE a ejecutar, terminar y entregar a entera satisfacción de la misma las:</w:t>
      </w:r>
      <w:r>
        <w:rPr>
          <w:rFonts w:ascii="Arial" w:hAnsi="Arial" w:eastAsia="Times New Roman" w:cs="Arial"/>
          <w:b/>
          <w:sz w:val="20"/>
          <w:szCs w:val="20"/>
          <w:lang w:eastAsia="hi-IN" w:bidi="hi-IN"/>
        </w:rPr>
        <w:t xml:space="preserve"> </w:t>
      </w:r>
      <w:r>
        <w:rPr>
          <w:rFonts w:ascii="Arial" w:hAnsi="Arial" w:eastAsia="Times New Roman" w:cs="Arial"/>
          <w:b/>
          <w:bCs/>
          <w:caps/>
          <w:sz w:val="20"/>
          <w:szCs w:val="20"/>
          <w:lang w:eastAsia="hi-IN" w:bidi="hi-IN"/>
        </w:rPr>
        <w:t xml:space="preserve">OBRAS HIDROSANITARIAS, CANALIZACIÓN TELEFÓNICA, CANALIZACIÓN ELÉCTRICA, MUROS, VEREDAS, BORDILLOS, PAVIMENTACIÓN FLEXIBLE, SEÑALIZACIÓN, MITIGACIÓN DE IMPACTOS AMBIENTALES, muros de contencion, subdren y seguridad vial DE LA CALLE de las arepas entre sin nombre y sin nombre; </w:t>
      </w:r>
      <w:r>
        <w:rPr>
          <w:rFonts w:ascii="Arial" w:hAnsi="Arial" w:eastAsia="Times New Roman" w:cs="Arial"/>
          <w:b/>
          <w:sz w:val="20"/>
          <w:lang w:bidi="hi-IN"/>
        </w:rPr>
        <w:t xml:space="preserve">Y LOS SIGUIENTES PROYECTOS DEL CONDOMINO LA FLORESTA: </w:t>
      </w:r>
      <w:r>
        <w:rPr>
          <w:rFonts w:ascii="Arial" w:hAnsi="Arial" w:eastAsia="Times New Roman" w:cs="Arial"/>
          <w:b/>
          <w:bCs/>
          <w:caps/>
          <w:sz w:val="20"/>
          <w:szCs w:val="20"/>
          <w:lang w:eastAsia="hi-IN" w:bidi="hi-IN"/>
        </w:rPr>
        <w:t>OBRAS HIDROSANITARIAS, MUROS, VEREDAS, BORDILLOS,  CANALIZACIÓN TELEFÓNICA, CANALIZACIÓN ELÉCTRICA, PAVIMENTO FLEXIBLE, SEÑALIZACIÓN, MITIGACIÓN DE IMPACTOS AMBIENTALES, DE  LA calle DEL ROSERO Y SIN NOMBRE ENTRE DE LOS RELAMPAGOS Y DE LOS QUESITOS; OBRAS HIDROSANITARIAS, MUROS, VEREDAS, BORDILLOS,  PAVIMENTO FLEXIBLE, SEÑALIZACIÓN, MITIGACIÓN DE IMPACTOS AMBIENTALES, DE  LA CALLE DE RETORNO SIN NOMBRE, DA A LAS QUESADILLAS; Y OBRAS HIDROSANITARIAS, CANALIZACIÓN TELEFÓNICA,  MUROS, VEREDAS, BORDILLOS,  PAVIMENTO FLEXIBLE, SEÑALIZACIÓN, MITIGACIÓN DE IMPACTOS AMBIENTALES, DE  LAS CALLES: DE LAS QUESADILLAS, ENTRE SIN NOMBRE Y DE LAS QUESADILLAS (FILO DE PAVIMENTO); Y DE  LA CALLE DEL AGUA DE PÍTIMAS, ENTRE MANUEL ANTONIO BORRERO Y SIN NOMBRE</w:t>
      </w:r>
      <w:r>
        <w:rPr>
          <w:rFonts w:ascii="Arial" w:hAnsi="Arial" w:eastAsia="Times New Roman" w:cs="Arial"/>
          <w:b/>
          <w:sz w:val="20"/>
          <w:szCs w:val="20"/>
          <w:lang w:eastAsia="hi-IN" w:bidi="hi-IN"/>
        </w:rPr>
        <w:t>.</w:t>
      </w:r>
    </w:p>
    <w:p>
      <w:pPr>
        <w:tabs>
          <w:tab w:val="left" w:pos="-540"/>
        </w:tabs>
        <w:suppressAutoHyphens/>
        <w:spacing w:after="0" w:line="240" w:lineRule="auto"/>
        <w:ind w:left="15" w:right="45"/>
        <w:jc w:val="both"/>
        <w:rPr>
          <w:rFonts w:ascii="Arial" w:hAnsi="Arial" w:eastAsia="Times New Roman" w:cs="Arial"/>
          <w:b/>
          <w:sz w:val="20"/>
          <w:szCs w:val="20"/>
          <w:lang w:eastAsia="hi-IN" w:bidi="hi-IN"/>
        </w:rPr>
      </w:pP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Se compromete al efecto, a realizar dicha obra, con sujeción a las condiciones, planos, especificaciones técnicas generales y particulares de la obra, anexos, condiciones generales de los contratos de Ejecución de Obras, instrucciones de la entidad y demás documentos contractuales, tanto los que se protocolizan en este instrumento, cuanto los que forman parte del mismo sin necesidad de protocolización, y respetando la normativa legal aplicable.</w:t>
      </w:r>
    </w:p>
    <w:p>
      <w:pPr>
        <w:suppressAutoHyphens/>
        <w:spacing w:after="0" w:line="240" w:lineRule="auto"/>
        <w:ind w:left="15" w:right="45"/>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Cuarta.- PRECIO DEL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4.1.</w:t>
      </w:r>
      <w:r>
        <w:rPr>
          <w:rFonts w:ascii="Arial" w:hAnsi="Arial" w:eastAsia="Times New Roman" w:cs="Arial"/>
          <w:spacing w:val="-2"/>
          <w:sz w:val="20"/>
          <w:szCs w:val="20"/>
          <w:lang w:eastAsia="hi-IN" w:bidi="hi-IN"/>
        </w:rPr>
        <w:t xml:space="preserve"> El valor del presente contrato, que la CONTRATANTE pagará al CONTRATISTA, es el de</w:t>
      </w:r>
      <w:r>
        <w:rPr>
          <w:rFonts w:ascii="Arial" w:hAnsi="Arial" w:eastAsia="Times New Roman" w:cs="Arial"/>
          <w:spacing w:val="-3"/>
          <w:sz w:val="20"/>
          <w:szCs w:val="20"/>
          <w:lang w:eastAsia="hi-IN" w:bidi="hi-IN"/>
        </w:rPr>
        <w:t>_________________________CON __/100 DOLARES DE ESTADOS UNIDOS DE AMÉRICA ($ ____,___.__), más IVA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b/>
          <w:spacing w:val="-2"/>
          <w:sz w:val="20"/>
          <w:szCs w:val="20"/>
          <w:lang w:eastAsia="hi-IN" w:bidi="hi-IN"/>
        </w:rPr>
        <w:t xml:space="preserve">4.2. </w:t>
      </w:r>
      <w:r>
        <w:rPr>
          <w:rFonts w:ascii="Arial" w:hAnsi="Arial" w:eastAsia="Times New Roman" w:cs="Arial"/>
          <w:sz w:val="20"/>
          <w:szCs w:val="20"/>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highlight w:val="green"/>
          <w:lang w:eastAsia="hi-IN" w:bidi="hi-IN"/>
        </w:rPr>
        <w:t>AQUÍ LA TABLA DE PRESUPUESTO</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Quinta.- FORMA DE PAGO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shd w:val="clear" w:color="auto" w:fill="FFFFFF" w:themeFill="background1"/>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z w:val="20"/>
          <w:szCs w:val="20"/>
          <w:lang w:eastAsia="hi-IN" w:bidi="hi-IN"/>
        </w:rPr>
        <w:t>5.1.</w:t>
      </w:r>
      <w:r>
        <w:rPr>
          <w:rFonts w:ascii="Arial" w:hAnsi="Arial" w:eastAsia="Times New Roman" w:cs="Arial"/>
          <w:sz w:val="20"/>
          <w:szCs w:val="20"/>
          <w:lang w:eastAsia="hi-IN" w:bidi="hi-IN"/>
        </w:rPr>
        <w:t xml:space="preserve"> La CONTRATANTE entregará al CONTRATISTA, en el plazo máximo de </w:t>
      </w:r>
      <w:r>
        <w:rPr>
          <w:rFonts w:ascii="Arial" w:hAnsi="Arial" w:eastAsia="Times New Roman" w:cs="Arial"/>
          <w:b/>
          <w:bCs/>
          <w:spacing w:val="-2"/>
          <w:kern w:val="32"/>
          <w:sz w:val="20"/>
          <w:szCs w:val="20"/>
          <w:lang w:val="es-ES" w:bidi="hi-IN"/>
        </w:rPr>
        <w:t>treinta días</w:t>
      </w:r>
      <w:r>
        <w:rPr>
          <w:rFonts w:ascii="Arial" w:hAnsi="Arial" w:eastAsia="Times New Roman" w:cs="Arial"/>
          <w:sz w:val="20"/>
          <w:szCs w:val="20"/>
          <w:lang w:eastAsia="hi-IN" w:bidi="hi-IN"/>
        </w:rPr>
        <w:t xml:space="preserve">, contados desde la celebración del contrato </w:t>
      </w:r>
      <w:r>
        <w:rPr>
          <w:rFonts w:ascii="Arial" w:hAnsi="Arial" w:eastAsia="Times New Roman" w:cs="Arial"/>
          <w:spacing w:val="-2"/>
          <w:sz w:val="20"/>
          <w:szCs w:val="20"/>
          <w:lang w:eastAsia="hi-IN" w:bidi="hi-IN"/>
        </w:rPr>
        <w:t xml:space="preserve">en calidad de anticipo; el </w:t>
      </w:r>
      <w:r>
        <w:rPr>
          <w:rFonts w:ascii="Arial" w:hAnsi="Arial" w:eastAsia="Times New Roman" w:cs="Arial"/>
          <w:b/>
          <w:bCs/>
          <w:spacing w:val="-2"/>
          <w:kern w:val="32"/>
          <w:sz w:val="20"/>
          <w:szCs w:val="20"/>
          <w:lang w:val="es-ES" w:bidi="hi-IN"/>
        </w:rPr>
        <w:t>TREINTA POR CIENTO (30%)</w:t>
      </w:r>
      <w:r>
        <w:rPr>
          <w:rFonts w:ascii="Arial" w:hAnsi="Arial" w:eastAsia="Times New Roman" w:cs="Arial"/>
          <w:iCs/>
          <w:spacing w:val="-2"/>
          <w:sz w:val="20"/>
          <w:szCs w:val="20"/>
          <w:lang w:eastAsia="hi-IN" w:bidi="hi-IN"/>
        </w:rPr>
        <w:t>del valor del contrato, esto es la cantidad de________________________ CON __/100  ($ ___.___,__).</w:t>
      </w:r>
      <w:r>
        <w:rPr>
          <w:rFonts w:ascii="Arial" w:hAnsi="Arial" w:eastAsia="Times New Roman" w:cs="Arial"/>
          <w:spacing w:val="-2"/>
          <w:sz w:val="20"/>
          <w:szCs w:val="20"/>
          <w:lang w:eastAsia="hi-IN" w:bidi="hi-IN"/>
        </w:rPr>
        <w:t>De conformidad con el Artículo 299, inciso tercero de la Constitución de la República del Ecuador y Artículo 76 inciso segundo, del Código Orgánico de Planificación y Finanzas Públicas, el anticipo mientras no sea devengado en su totalidad, es considerado un recurso público, por lo que, será depositado por la entidad contratante en una cuenta que el CONTRATISTA aperturará en una institución financiera estatal, o privada en la que el estado tenga una participación accionaria o de capital superior al 50%. El contratista, en forma previa a la suscripción del contrato, deberá presentar el número de dicha cuenta bancaria en la Coordinación Administrativa de la Unidad Ejecutora de Proyectos.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w:t>
      </w:r>
    </w:p>
    <w:p>
      <w:pPr>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864"/>
          <w:tab w:val="left" w:pos="2304"/>
        </w:tabs>
        <w:suppressAutoHyphens/>
        <w:spacing w:after="0" w:line="240" w:lineRule="auto"/>
        <w:ind w:left="15" w:right="45"/>
        <w:jc w:val="both"/>
        <w:rPr>
          <w:rFonts w:ascii="Arial" w:hAnsi="Arial" w:eastAsia="Times New Roman" w:cs="Arial"/>
          <w:sz w:val="20"/>
          <w:szCs w:val="20"/>
          <w:lang w:bidi="hi-IN"/>
        </w:rPr>
      </w:pPr>
      <w:r>
        <w:rPr>
          <w:rFonts w:ascii="Arial" w:hAnsi="Arial" w:eastAsia="Times New Roman" w:cs="Arial"/>
          <w:sz w:val="20"/>
          <w:szCs w:val="20"/>
          <w:lang w:bidi="hi-IN"/>
        </w:rPr>
        <w:t>El anticipo que la CONTRATANTE haya otorgado al CONTRATISTA para la ejecución de la obra objeto de este contrato, no podrá ser destinado a fines ajenos a esta contratación.</w:t>
      </w:r>
    </w:p>
    <w:p>
      <w:pPr>
        <w:tabs>
          <w:tab w:val="left" w:pos="864"/>
          <w:tab w:val="left" w:pos="2304"/>
        </w:tabs>
        <w:suppressAutoHyphens/>
        <w:spacing w:after="0" w:line="240" w:lineRule="auto"/>
        <w:ind w:left="15" w:right="45"/>
        <w:jc w:val="both"/>
        <w:rPr>
          <w:rFonts w:ascii="Arial" w:hAnsi="Arial" w:eastAsia="Times New Roman" w:cs="Arial"/>
          <w:sz w:val="20"/>
          <w:szCs w:val="20"/>
          <w:lang w:bidi="hi-IN"/>
        </w:rPr>
      </w:pPr>
    </w:p>
    <w:p>
      <w:pPr>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z w:val="20"/>
          <w:szCs w:val="20"/>
          <w:lang w:bidi="hi-IN"/>
        </w:rPr>
        <w:t>El contratista previo a la entrega del anticipo, entregará a la Fiscalización un cronograma de la utilización de estos recursos entregados por el GAD municipal del cantón Cuenca en calidad de anticipo para la ejecución de la obra.</w:t>
      </w:r>
    </w:p>
    <w:p>
      <w:pPr>
        <w:tabs>
          <w:tab w:val="left" w:pos="-1260"/>
          <w:tab w:val="left" w:pos="180"/>
        </w:tabs>
        <w:suppressAutoHyphens/>
        <w:spacing w:after="0" w:line="240" w:lineRule="auto"/>
        <w:ind w:left="15" w:right="45"/>
        <w:jc w:val="both"/>
        <w:rPr>
          <w:rFonts w:ascii="Arial" w:hAnsi="Arial" w:eastAsia="Times New Roman" w:cs="Arial"/>
          <w:spacing w:val="-2"/>
          <w:sz w:val="20"/>
          <w:szCs w:val="20"/>
          <w:lang w:eastAsia="hi-IN" w:bidi="hi-IN"/>
        </w:rPr>
      </w:pPr>
    </w:p>
    <w:p>
      <w:pPr>
        <w:shd w:val="clear" w:color="auto" w:fill="FFFFFF" w:themeFill="background1"/>
        <w:tabs>
          <w:tab w:val="left" w:pos="-540"/>
          <w:tab w:val="left" w:pos="1485"/>
        </w:tabs>
        <w:suppressAutoHyphens/>
        <w:autoSpaceDN w:val="0"/>
        <w:spacing w:after="0" w:line="240" w:lineRule="auto"/>
        <w:ind w:left="15" w:right="45"/>
        <w:jc w:val="both"/>
        <w:textAlignment w:val="baseline"/>
        <w:rPr>
          <w:rFonts w:ascii="Arial" w:hAnsi="Arial" w:eastAsia="Times New Roman" w:cs="Arial"/>
          <w:spacing w:val="-2"/>
          <w:sz w:val="20"/>
          <w:szCs w:val="20"/>
          <w:lang w:bidi="hi-IN"/>
        </w:rPr>
      </w:pPr>
      <w:r>
        <w:rPr>
          <w:rFonts w:ascii="Arial" w:hAnsi="Arial" w:eastAsia="Times New Roman" w:cs="Arial"/>
          <w:b/>
          <w:spacing w:val="-2"/>
          <w:sz w:val="20"/>
          <w:szCs w:val="20"/>
          <w:lang w:bidi="hi-IN"/>
        </w:rPr>
        <w:t>5.2.</w:t>
      </w:r>
      <w:r>
        <w:rPr>
          <w:rFonts w:ascii="Arial" w:hAnsi="Arial" w:eastAsia="Times New Roman" w:cs="Arial"/>
          <w:spacing w:val="-2"/>
          <w:sz w:val="20"/>
          <w:szCs w:val="20"/>
          <w:lang w:bidi="hi-IN"/>
        </w:rPr>
        <w:t xml:space="preserve"> El valor restante de la obra, esto es el </w:t>
      </w:r>
      <w:r>
        <w:rPr>
          <w:rFonts w:ascii="Arial" w:hAnsi="Arial" w:eastAsia="Times New Roman" w:cs="Arial"/>
          <w:b/>
          <w:bCs/>
          <w:spacing w:val="-2"/>
          <w:kern w:val="32"/>
          <w:sz w:val="20"/>
          <w:szCs w:val="20"/>
          <w:lang w:val="es-ES" w:bidi="hi-IN"/>
        </w:rPr>
        <w:t>SETENTA POR CIENTO (70%)</w:t>
      </w:r>
      <w:r>
        <w:rPr>
          <w:rFonts w:ascii="Arial" w:hAnsi="Arial" w:eastAsia="Times New Roman" w:cs="Arial"/>
          <w:spacing w:val="-2"/>
          <w:sz w:val="20"/>
          <w:szCs w:val="20"/>
          <w:lang w:bidi="hi-IN"/>
        </w:rPr>
        <w:t xml:space="preserve">, se cancelará </w:t>
      </w:r>
      <w:r>
        <w:rPr>
          <w:rFonts w:ascii="Arial" w:hAnsi="Arial" w:eastAsia="Times New Roman" w:cs="Arial"/>
          <w:spacing w:val="-2"/>
          <w:sz w:val="20"/>
          <w:szCs w:val="20"/>
          <w:lang w:eastAsia="hi-IN" w:bidi="hi-IN"/>
        </w:rPr>
        <w:t>mediante pago contra presentación de planillas mensuales de conformidad con el plazo del contrato, debidamente aprobadas por la fiscalización y autorizadas por la administración del contrato</w:t>
      </w:r>
      <w:r>
        <w:rPr>
          <w:rFonts w:ascii="Arial" w:hAnsi="Arial" w:eastAsia="Times New Roman" w:cs="Arial"/>
          <w:spacing w:val="-2"/>
          <w:sz w:val="20"/>
          <w:szCs w:val="20"/>
          <w:lang w:bidi="hi-IN"/>
        </w:rPr>
        <w:t>. De cada planilla se descontará la amortización del anticipo y cualquier otro cargo, legalmente establecido, al CONTRATISTA. El monto del anticipo entregado por la Entidad será devengado proporcionalmente al momento del pago de cada planilla hasta la terminación del plazo contractual inicialmente estipulado y constará en el cronograma pertinente que es parte del contrato.</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5.3.</w:t>
      </w:r>
      <w:r>
        <w:rPr>
          <w:rFonts w:ascii="Arial" w:hAnsi="Arial" w:eastAsia="Times New Roman" w:cs="Arial"/>
          <w:spacing w:val="-2"/>
          <w:sz w:val="20"/>
          <w:szCs w:val="20"/>
          <w:lang w:eastAsia="hi-IN" w:bidi="hi-IN"/>
        </w:rPr>
        <w:t xml:space="preserve"> Entregada la planilla por el CONTRATISTA, a la fiscalización, en el primer día hábil de cada mes; la fiscalización en el plazo de cuatro días verificará, corregirá y aprobará la planilla presentada, e ingresará a la Coordinación Técnica de Fiscalización y de ser el caso continuará en forma inmediata el trámite para el pago. Si la fiscalización no aprueba o no expresa las razones fundadas de su objeción, transcurrido el plazo establecido, se entenderá que la planilla está aprobada y debe ser pagada por la CONTRATANTE.</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Para el caso de la planilla de liquidación de obra, el CONTRATISTA, deberá entregarla a la fiscalización dentro de los (10) días laborables posteriores a la fecha de terminación de la obra, o en el primer día hábil del mes siguiente, lo que ocurriera primero.</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5.4. Discrepancias:</w:t>
      </w:r>
      <w:r>
        <w:rPr>
          <w:rFonts w:ascii="Arial" w:hAnsi="Arial" w:eastAsia="Times New Roman" w:cs="Arial"/>
          <w:spacing w:val="-2"/>
          <w:sz w:val="20"/>
          <w:szCs w:val="20"/>
          <w:lang w:eastAsia="hi-IN" w:bidi="hi-IN"/>
        </w:rPr>
        <w:t xml:space="preserve"> Si existieren discrepancias entre las planillas presentadas por el CONTRATISTA y las cantidades de obra calculadas por la fiscalización, ésta notificará al CONTRATISTA. Si no se receptare respuesta, dentro de los  dos días laborables siguientes a la fecha de la notificación, se entenderá que el CONTRATISTA ha aceptado la liquidación hecha por la fiscalización y se dará paso al pago. Cuando se consiga un acuerdo sobre tales divergencias, se procederá como se indica en el numeral 5.3 de esta cláusula.</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5.5.</w:t>
      </w:r>
      <w:r>
        <w:rPr>
          <w:rFonts w:ascii="Arial" w:hAnsi="Arial" w:eastAsia="Times New Roman" w:cs="Arial"/>
          <w:spacing w:val="-2"/>
          <w:sz w:val="20"/>
          <w:szCs w:val="20"/>
          <w:lang w:eastAsia="hi-IN" w:bidi="hi-IN"/>
        </w:rPr>
        <w:t xml:space="preserve"> El ultimo día  laborable de cada mes, la fiscalización y el CONTRATISTA, de forma conjunta, efectuarán las mediciones de las cantidades de obra ejecutadas durante el mes.  Se emplearán las unidades de medida y precios unitarios establecidos en la Tabla de Cantidades y Precios para cada rubro señalado.</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452"/>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En cada planilla de obra ejecutada, el fiscalizador calculará el reajuste de precios provisional, aplicando las fórmulas de reajuste que se indican en este contrato. El fiscalizador realizará el reajuste definitivo tan pronto se publiquen los índices del INEC que sean aplicables.</w:t>
      </w:r>
    </w:p>
    <w:p>
      <w:pPr>
        <w:tabs>
          <w:tab w:val="left" w:pos="1452"/>
        </w:tabs>
        <w:suppressAutoHyphens/>
        <w:spacing w:after="0" w:line="240" w:lineRule="auto"/>
        <w:ind w:left="15" w:right="45"/>
        <w:jc w:val="both"/>
        <w:rPr>
          <w:rFonts w:ascii="Arial" w:hAnsi="Arial" w:eastAsia="Times New Roman" w:cs="Arial"/>
          <w:i/>
          <w:iCs/>
          <w:spacing w:val="-2"/>
          <w:sz w:val="20"/>
          <w:szCs w:val="20"/>
          <w:lang w:eastAsia="hi-IN"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5.6. Trámite de las planillas</w:t>
      </w:r>
      <w:r>
        <w:rPr>
          <w:rFonts w:ascii="Arial" w:hAnsi="Arial" w:eastAsia="Times New Roman" w:cs="Arial"/>
          <w:sz w:val="20"/>
          <w:szCs w:val="20"/>
          <w:lang w:bidi="hi-IN"/>
        </w:rPr>
        <w:t>: Para el trámite de las planillas se observarán las siguientes reglas: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 Las planillas serán preparadas por capítulos y siguiendo el orden establecido en la Tabla de descripción de rubros, unidades, cantidades y precios, con sujeción a los precios unitarios en dólares de los Estados Unidos de América en los diferentes rubros y por las cantidades reales de trabajos ejecutados.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b. El contratista preparará las planillas, las cuales se pondrán a consideración de la fiscalización en el primer día hábil de cada mes, y serán aprobadas por ella en el término de cuatro días, luego de lo cual, en forma inmediata, se continuará el trámite de autorización del administrador del contrato y solo con dicha autorización se procederá al pago.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c. Para el caso de la planilla de liquidación de obra, el CONTRATISTA, deberá entregarla a la fiscalización dentro de los (10) días laborables posteriores a la fecha de terminación de la obra, o en el primer día hábil del mes siguiente, lo que ocurriera primero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d. Se adjuntarán los anexos de medidas, aprobaciones, pruebas de laboratorio y otros que correspondan.</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e. La fiscalización verificará la planilla de aportes al IESS del personal de la obra.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f. 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 Estos documentos se elaborarán según el modelo preparado por la fiscalización y serán requisito indispensable para tramitar la planilla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g. 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5.7. Requisito previo al pago de las planillas: </w:t>
      </w:r>
      <w:r>
        <w:rPr>
          <w:rFonts w:ascii="Arial" w:hAnsi="Arial" w:eastAsia="Times New Roman" w:cs="Arial"/>
          <w:sz w:val="20"/>
          <w:szCs w:val="20"/>
          <w:lang w:bidi="hi-IN"/>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5.8.- </w:t>
      </w:r>
      <w:r>
        <w:rPr>
          <w:rFonts w:ascii="Arial" w:hAnsi="Arial" w:eastAsia="Times New Roman" w:cs="Arial"/>
          <w:sz w:val="20"/>
          <w:szCs w:val="20"/>
          <w:lang w:bidi="hi-IN"/>
        </w:rPr>
        <w:t>De los pagos que deba hacer, la CONTRATANTE retendrá igualmente las multas que procedan, de acuerdo con el contrato.</w:t>
      </w:r>
    </w:p>
    <w:p>
      <w:pPr>
        <w:suppressAutoHyphens/>
        <w:spacing w:after="0" w:line="240" w:lineRule="auto"/>
        <w:jc w:val="both"/>
        <w:rPr>
          <w:rFonts w:ascii="Arial" w:hAnsi="Arial" w:eastAsia="Times New Roman" w:cs="Arial"/>
          <w:sz w:val="20"/>
          <w:szCs w:val="20"/>
          <w:lang w:bidi="hi-IN"/>
        </w:rPr>
      </w:pPr>
    </w:p>
    <w:p>
      <w:pPr>
        <w:tabs>
          <w:tab w:val="left" w:pos="1452"/>
        </w:tabs>
        <w:suppressAutoHyphens/>
        <w:spacing w:after="0" w:line="240" w:lineRule="auto"/>
        <w:ind w:left="15" w:right="45"/>
        <w:jc w:val="both"/>
        <w:rPr>
          <w:rFonts w:ascii="Arial" w:hAnsi="Arial" w:eastAsia="Times New Roman" w:cs="Arial"/>
          <w:i/>
          <w:iCs/>
          <w:spacing w:val="-2"/>
          <w:sz w:val="20"/>
          <w:szCs w:val="20"/>
          <w:lang w:eastAsia="hi-IN" w:bidi="hi-IN"/>
        </w:rPr>
      </w:pPr>
      <w:r>
        <w:rPr>
          <w:rFonts w:ascii="Arial" w:hAnsi="Arial" w:eastAsia="Times New Roman" w:cs="Arial"/>
          <w:b/>
          <w:bCs/>
          <w:sz w:val="20"/>
          <w:szCs w:val="20"/>
          <w:lang w:bidi="hi-IN"/>
        </w:rPr>
        <w:t xml:space="preserve">5.9. Pagos indebidos: </w:t>
      </w:r>
      <w:r>
        <w:rPr>
          <w:rFonts w:ascii="Arial" w:hAnsi="Arial" w:eastAsia="Times New Roman" w:cs="Arial"/>
          <w:sz w:val="20"/>
          <w:szCs w:val="20"/>
          <w:lang w:bidi="hi-IN"/>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 xml:space="preserve">Cláusula Sexta.- GARANTÍAS </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6.1.</w:t>
      </w:r>
      <w:r>
        <w:rPr>
          <w:rFonts w:ascii="Arial" w:hAnsi="Arial" w:eastAsia="Times New Roman" w:cs="Arial"/>
          <w:spacing w:val="-2"/>
          <w:sz w:val="20"/>
          <w:szCs w:val="20"/>
          <w:lang w:eastAsia="hi-IN" w:bidi="hi-IN"/>
        </w:rPr>
        <w:t xml:space="preserve"> En este contrato se rendirán las siguientes garantías: </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pStyle w:val="57"/>
        <w:numPr>
          <w:ilvl w:val="2"/>
          <w:numId w:val="19"/>
        </w:numPr>
        <w:tabs>
          <w:tab w:val="left" w:pos="1593"/>
        </w:tabs>
        <w:ind w:right="45"/>
        <w:jc w:val="both"/>
        <w:rPr>
          <w:rFonts w:ascii="Arial" w:hAnsi="Arial" w:cs="Arial"/>
          <w:spacing w:val="-3"/>
          <w:sz w:val="20"/>
        </w:rPr>
      </w:pPr>
      <w:r>
        <w:rPr>
          <w:rFonts w:ascii="Arial" w:hAnsi="Arial" w:cs="Arial"/>
          <w:spacing w:val="-3"/>
          <w:sz w:val="20"/>
        </w:rPr>
        <w:t>La garantía de fiel cumplimiento del contrato, en forma previa a la celebración del mismo, el valor de ésta será de conformidad a lo estipulado en el Art. 74 de la LOSNCP.</w:t>
      </w:r>
    </w:p>
    <w:p>
      <w:pPr>
        <w:tabs>
          <w:tab w:val="left" w:pos="1593"/>
        </w:tabs>
        <w:suppressAutoHyphens/>
        <w:spacing w:after="0" w:line="240" w:lineRule="auto"/>
        <w:ind w:left="15" w:right="45"/>
        <w:jc w:val="both"/>
        <w:rPr>
          <w:rFonts w:ascii="Arial" w:hAnsi="Arial" w:eastAsia="Times New Roman" w:cs="Arial"/>
          <w:spacing w:val="-3"/>
          <w:sz w:val="20"/>
          <w:szCs w:val="20"/>
          <w:lang w:eastAsia="hi-IN" w:bidi="hi-IN"/>
        </w:rPr>
      </w:pPr>
    </w:p>
    <w:p>
      <w:pPr>
        <w:pStyle w:val="57"/>
        <w:numPr>
          <w:ilvl w:val="2"/>
          <w:numId w:val="19"/>
        </w:numPr>
        <w:tabs>
          <w:tab w:val="left" w:pos="889"/>
          <w:tab w:val="left" w:pos="2588"/>
        </w:tabs>
        <w:ind w:right="45"/>
        <w:jc w:val="both"/>
        <w:rPr>
          <w:rFonts w:ascii="Arial" w:hAnsi="Arial" w:cs="Arial"/>
          <w:spacing w:val="-3"/>
          <w:sz w:val="20"/>
        </w:rPr>
      </w:pPr>
      <w:r>
        <w:rPr>
          <w:rFonts w:ascii="Arial" w:hAnsi="Arial" w:cs="Arial"/>
          <w:spacing w:val="-3"/>
          <w:sz w:val="20"/>
        </w:rPr>
        <w:t>La garantía de buen uso del anticipo se rendirá por un valor igual al determinado, que respalde el 100% del monto a recibir por este concepto, la que deberá ser presentada previo a la entrega del mismo.</w:t>
      </w:r>
    </w:p>
    <w:p>
      <w:pPr>
        <w:tabs>
          <w:tab w:val="left" w:pos="1584"/>
          <w:tab w:val="left" w:pos="2304"/>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58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6.2. </w:t>
      </w:r>
      <w:r>
        <w:rPr>
          <w:rFonts w:ascii="Arial" w:hAnsi="Arial" w:eastAsia="Times New Roman" w:cs="Arial"/>
          <w:spacing w:val="-2"/>
          <w:sz w:val="20"/>
          <w:szCs w:val="20"/>
          <w:lang w:eastAsia="hi-IN" w:bidi="hi-IN"/>
        </w:rPr>
        <w:t>Las garantías entregadas se devolverán de acuerdo a lo establecido en el artículo 77 de la LOSCNP y 118 del RGLOSNCP. Entre tanto, deberán mantenerse vigentes, lo que será vigilado y exigido por la CONTRATANTE.</w:t>
      </w:r>
    </w:p>
    <w:p>
      <w:pPr>
        <w:tabs>
          <w:tab w:val="left" w:pos="1584"/>
          <w:tab w:val="left" w:pos="2304"/>
        </w:tabs>
        <w:suppressAutoHyphens/>
        <w:spacing w:after="0" w:line="240" w:lineRule="auto"/>
        <w:ind w:left="15" w:right="45"/>
        <w:jc w:val="both"/>
        <w:rPr>
          <w:rFonts w:ascii="Arial" w:hAnsi="Arial" w:eastAsia="Times New Roman" w:cs="Arial"/>
          <w:spacing w:val="-2"/>
          <w:sz w:val="20"/>
          <w:szCs w:val="20"/>
          <w:lang w:eastAsia="hi-IN"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6.3. Ejecución de las garantías:</w:t>
      </w:r>
      <w:r>
        <w:rPr>
          <w:rFonts w:ascii="Arial" w:hAnsi="Arial" w:eastAsia="Times New Roman" w:cs="Arial"/>
          <w:sz w:val="20"/>
          <w:szCs w:val="20"/>
          <w:lang w:bidi="hi-IN"/>
        </w:rPr>
        <w:t xml:space="preserve"> Las garantías contractuales podrán ser ejecutadas por la CONTRATANTE en los siguientes casos: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b/>
          <w:bCs/>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6.3.1. La de fiel cumplimiento del contrato: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 Cuando la CONTRATANTE declare anticipada y unilateralmente terminado el contrato por causas imputables al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b) Si el CONTRATISTA no la renovare cinco días antes de su vencimiento.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b/>
          <w:bCs/>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6.3.2. La del anticipo: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 Si el CONTRATISTA no la renovare cinco días antes de su vencimiento.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b) En caso de terminación unilateral del contrato y que el CONTRATISTA no pague a la CONTRATANTE el saldo adeudado del anticipo, después de diez días de notificado con la liquidación del contrato.</w:t>
      </w:r>
    </w:p>
    <w:p>
      <w:pPr>
        <w:suppressAutoHyphens/>
        <w:spacing w:after="0" w:line="240" w:lineRule="auto"/>
        <w:jc w:val="both"/>
        <w:rPr>
          <w:rFonts w:ascii="Arial" w:hAnsi="Arial" w:eastAsia="Times New Roman" w:cs="Arial"/>
          <w:sz w:val="20"/>
          <w:szCs w:val="20"/>
          <w:lang w:bidi="hi-IN"/>
        </w:rPr>
      </w:pPr>
    </w:p>
    <w:p>
      <w:pPr>
        <w:tabs>
          <w:tab w:val="left" w:pos="1584"/>
          <w:tab w:val="left" w:pos="230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b/>
          <w:spacing w:val="-2"/>
          <w:sz w:val="20"/>
          <w:szCs w:val="20"/>
          <w:lang w:eastAsia="hi-IN" w:bidi="hi-IN"/>
        </w:rPr>
        <w:t xml:space="preserve">6.4. </w:t>
      </w:r>
      <w:r>
        <w:rPr>
          <w:rFonts w:ascii="Arial" w:hAnsi="Arial" w:eastAsia="Times New Roman" w:cs="Arial"/>
          <w:spacing w:val="-3"/>
          <w:sz w:val="20"/>
          <w:szCs w:val="20"/>
          <w:lang w:eastAsia="hi-IN" w:bidi="hi-IN"/>
        </w:rPr>
        <w:t>Para garantizar las pérdidas o daños de cualesquier naturaleza que se puedan ocasionar en la ejecución de la obra a la entidad contratante o terceros, el Contratista entrega los documentos de seguro, para amparar los siguientes riesgos:</w:t>
      </w: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spacing w:val="-3"/>
          <w:sz w:val="20"/>
          <w:szCs w:val="20"/>
          <w:lang w:eastAsia="hi-IN" w:bidi="hi-IN"/>
        </w:rPr>
        <w:t>Pérdida o daños en materiales, equipos y  obras; y,</w:t>
      </w: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spacing w:val="-3"/>
          <w:sz w:val="20"/>
          <w:szCs w:val="20"/>
          <w:lang w:eastAsia="hi-IN" w:bidi="hi-IN"/>
        </w:rPr>
        <w:t>Pérdida o daños a la propiedad relacionada con el contrato, lesiones personales y muerte.</w:t>
      </w: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Séptima.- PLAZO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b/>
          <w:spacing w:val="-2"/>
          <w:sz w:val="20"/>
          <w:szCs w:val="20"/>
          <w:lang w:eastAsia="hi-IN" w:bidi="hi-IN"/>
        </w:rPr>
        <w:t xml:space="preserve">7.1. </w:t>
      </w:r>
      <w:r>
        <w:rPr>
          <w:rFonts w:ascii="Arial" w:hAnsi="Arial" w:eastAsia="Times New Roman" w:cs="Arial"/>
          <w:spacing w:val="-2"/>
          <w:sz w:val="20"/>
          <w:szCs w:val="20"/>
          <w:lang w:eastAsia="hi-IN" w:bidi="hi-IN"/>
        </w:rPr>
        <w:t xml:space="preserve">El plazo para la ejecución y terminación de la totalidad de los trabajos contratados es de </w:t>
      </w:r>
      <w:r>
        <w:rPr>
          <w:rFonts w:ascii="Arial" w:hAnsi="Arial" w:eastAsia="Times New Roman" w:cs="Arial"/>
          <w:b/>
          <w:bCs/>
          <w:spacing w:val="-2"/>
          <w:kern w:val="32"/>
          <w:sz w:val="20"/>
          <w:szCs w:val="20"/>
          <w:lang w:val="es-ES" w:bidi="hi-IN"/>
        </w:rPr>
        <w:t xml:space="preserve">CIENTO VEINTE (120) </w:t>
      </w:r>
      <w:r>
        <w:rPr>
          <w:rFonts w:ascii="Arial" w:hAnsi="Arial" w:eastAsia="Times New Roman" w:cs="Arial"/>
          <w:spacing w:val="-2"/>
          <w:sz w:val="20"/>
          <w:szCs w:val="20"/>
          <w:lang w:eastAsia="hi-IN" w:bidi="hi-IN"/>
        </w:rPr>
        <w:t>días, contado a partir del día siguiente de que el anticipo se encuentra disponible en la cuenta del contratista</w:t>
      </w:r>
      <w:r>
        <w:rPr>
          <w:rFonts w:ascii="Arial" w:hAnsi="Arial" w:eastAsia="Times New Roman" w:cs="Arial"/>
          <w:sz w:val="20"/>
          <w:szCs w:val="20"/>
          <w:lang w:eastAsia="hi-IN" w:bidi="hi-IN"/>
        </w:rPr>
        <w:t>.</w:t>
      </w: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La recepción definitiva se realizará en el término de seis meses, a contarse desde la suscripción del acta de recepción provisional total o de la declaratoria de recepción provisional presunta o de la última recepción provisional parcial, si se hubiere previsto realizar varias de éstas.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
          <w:bCs/>
          <w:sz w:val="20"/>
          <w:szCs w:val="20"/>
          <w:lang w:bidi="hi-IN"/>
        </w:rPr>
        <w:t xml:space="preserve">7.2. Prórrogas de Plazo.- </w:t>
      </w:r>
      <w:r>
        <w:rPr>
          <w:rFonts w:ascii="Arial" w:hAnsi="Arial" w:eastAsia="Times New Roman" w:cs="Arial"/>
          <w:bCs/>
          <w:sz w:val="20"/>
          <w:szCs w:val="20"/>
          <w:lang w:bidi="hi-IN"/>
        </w:rPr>
        <w:t>La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Cs/>
          <w:sz w:val="20"/>
          <w:szCs w:val="20"/>
          <w:lang w:bidi="hi-IN"/>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Cs/>
          <w:sz w:val="20"/>
          <w:szCs w:val="20"/>
          <w:lang w:bidi="hi-IN"/>
        </w:rPr>
        <w:t>b) Cuando la CONTRATANTE ordenare la ejecución de trabajos adicionales, o cuando se produzcan aumentos de las cantidades de obra estimadas y que constan en la Tabla de Cantidades y Precios, para lo cual se utilizarán las figuras del contrato complementario, diferencias en cantidades de obra u órdenes de trabajo, según apliquen de acuerdo con la LOSNCP.</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Cs/>
          <w:sz w:val="20"/>
          <w:szCs w:val="20"/>
          <w:lang w:bidi="hi-IN"/>
        </w:rPr>
        <w:t>c) Por suspensiones en los trabajos o cambios de las actividades previstas en el cronograma, motivadas por la CONTRATANTE u ordenadas por ella, a través de la fiscalización, y que no se deban a causas imputables al CONTRATISTA.</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Cs/>
          <w:sz w:val="20"/>
          <w:szCs w:val="20"/>
          <w:lang w:bidi="hi-IN"/>
        </w:rPr>
        <w:t>d) Si la CONTRATANTE no hubiera solucionado los problemas administrativos-contractuales o constructivos en forma oportuna, cuando tales circunstancias incidan en la ejecución de los trabajos.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7.2.1. </w:t>
      </w:r>
      <w:r>
        <w:rPr>
          <w:rFonts w:ascii="Arial" w:hAnsi="Arial" w:eastAsia="Times New Roman" w:cs="Arial"/>
          <w:sz w:val="20"/>
          <w:szCs w:val="20"/>
          <w:lang w:bidi="hi-IN"/>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pPr>
        <w:suppressAutoHyphens/>
        <w:spacing w:after="0" w:line="240" w:lineRule="auto"/>
        <w:jc w:val="both"/>
        <w:rPr>
          <w:rFonts w:ascii="Arial" w:hAnsi="Arial" w:eastAsia="Times New Roman" w:cs="Arial"/>
          <w:sz w:val="20"/>
          <w:szCs w:val="20"/>
          <w:lang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Octava.- OBLIGACIONES DEL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8.1.</w:t>
      </w:r>
      <w:r>
        <w:rPr>
          <w:rFonts w:ascii="Arial" w:hAnsi="Arial" w:eastAsia="Times New Roman" w:cs="Arial"/>
          <w:sz w:val="20"/>
          <w:szCs w:val="20"/>
          <w:lang w:bidi="hi-IN"/>
        </w:rPr>
        <w:t xml:space="preserve"> El contratista preparará las planillas (única o mensuales de conformidad con el plazo del contrato), las cuales se pondrán a consideración de la fiscalización en el primer día hábil de cada mes, y serán aprobadas por ella en el término de cuatro días, luego de lo cual, en forma inmediata, se continuará el trámite de autorización del administrador del contrato  y solo con dicha autorización  se procederá al pago.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8.2.</w:t>
      </w:r>
      <w:r>
        <w:rPr>
          <w:rFonts w:ascii="Arial" w:hAnsi="Arial" w:eastAsia="Times New Roman" w:cs="Arial"/>
          <w:sz w:val="20"/>
          <w:szCs w:val="20"/>
          <w:lang w:bidi="hi-IN"/>
        </w:rPr>
        <w:t xml:space="preserve"> Además, el contratista presentará con las planillas el estado de avance del proyecto y un cuadro informativo resumen, que indicará, para cada concepto de trabajo, el rubro, la descripción, unidad, la cantidad total y el valor total contratado, las cantidades y el valor acumulado hasta la fecha anterior, y en el período en consideración, y la cantidad y el valor acumulado hasta la fecha. Estos documentos se elaborarán según el modelo preparado por la fiscalización y serán requisito indispensable para tramitar la planilla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8.3.</w:t>
      </w:r>
      <w:r>
        <w:rPr>
          <w:rFonts w:ascii="Arial" w:hAnsi="Arial" w:eastAsia="Times New Roman" w:cs="Arial"/>
          <w:sz w:val="20"/>
          <w:szCs w:val="20"/>
          <w:lang w:bidi="hi-IN"/>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rubros nuevos o contratos complementarios. La ampliación del plazo, contratación de rubros nuevos o contratos complementarios podrán tramitarse solo si fueren solicitados por la fiscalización y aprobados por la administración.</w:t>
      </w:r>
    </w:p>
    <w:p>
      <w:pPr>
        <w:suppressAutoHyphens/>
        <w:spacing w:after="0" w:line="240" w:lineRule="auto"/>
        <w:jc w:val="both"/>
        <w:rPr>
          <w:rFonts w:ascii="Arial" w:hAnsi="Arial" w:eastAsia="Times New Roman" w:cs="Arial"/>
          <w:sz w:val="20"/>
          <w:szCs w:val="20"/>
          <w:lang w:bidi="hi-IN"/>
        </w:rPr>
      </w:pPr>
    </w:p>
    <w:p>
      <w:pPr>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z w:val="20"/>
          <w:szCs w:val="20"/>
          <w:lang w:bidi="hi-IN"/>
        </w:rPr>
        <w:t xml:space="preserve">8.4 </w:t>
      </w:r>
      <w:r>
        <w:rPr>
          <w:rFonts w:ascii="Arial" w:hAnsi="Arial" w:eastAsia="Times New Roman" w:cs="Arial"/>
          <w:sz w:val="20"/>
          <w:szCs w:val="20"/>
          <w:lang w:bidi="hi-IN"/>
        </w:rPr>
        <w:t>El contratista previo a la entrega del anticipo, entregará a la Fiscalización un cronograma de la utilización de estos recursos entregados por el GAD municipal del cantón Cuenca en calidad de anticipo para la ejecución de la obra.</w:t>
      </w:r>
    </w:p>
    <w:p>
      <w:pPr>
        <w:suppressAutoHyphens/>
        <w:spacing w:after="0" w:line="240" w:lineRule="auto"/>
        <w:jc w:val="both"/>
        <w:rPr>
          <w:rFonts w:ascii="Arial" w:hAnsi="Arial" w:eastAsia="Times New Roman" w:cs="Arial"/>
          <w:b/>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8.5.</w:t>
      </w:r>
      <w:r>
        <w:rPr>
          <w:rFonts w:ascii="Arial" w:hAnsi="Arial" w:eastAsia="Times New Roman" w:cs="Arial"/>
          <w:sz w:val="20"/>
          <w:szCs w:val="20"/>
          <w:lang w:bidi="hi-IN"/>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8.6.</w:t>
      </w:r>
      <w:r>
        <w:rPr>
          <w:rFonts w:ascii="Arial" w:hAnsi="Arial" w:eastAsia="Times New Roman" w:cs="Arial"/>
          <w:sz w:val="20"/>
          <w:szCs w:val="20"/>
          <w:lang w:bidi="hi-IN"/>
        </w:rPr>
        <w:t xml:space="preserve"> 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8.7.</w:t>
      </w:r>
      <w:r>
        <w:rPr>
          <w:rFonts w:ascii="Arial" w:hAnsi="Arial" w:eastAsia="Times New Roman" w:cs="Arial"/>
          <w:sz w:val="20"/>
          <w:szCs w:val="20"/>
          <w:lang w:bidi="hi-IN"/>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8.8.</w:t>
      </w:r>
      <w:r>
        <w:rPr>
          <w:rFonts w:ascii="Arial" w:hAnsi="Arial" w:eastAsia="Times New Roman" w:cs="Arial"/>
          <w:sz w:val="20"/>
          <w:szCs w:val="20"/>
          <w:lang w:bidi="hi-IN"/>
        </w:rPr>
        <w:t xml:space="preserve"> Queda expresamente establecido que constituye obligación del CONTRATISTA ejecutar conforme a las especificaciones técnicas, todos los rubros detallados en la Tabla de descripción de rubros, unidades, cantidades y precios.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8.9.</w:t>
      </w:r>
      <w:r>
        <w:rPr>
          <w:rFonts w:ascii="Arial" w:hAnsi="Arial" w:eastAsia="Times New Roman" w:cs="Arial"/>
          <w:sz w:val="20"/>
          <w:szCs w:val="20"/>
          <w:lang w:bidi="hi-IN"/>
        </w:rPr>
        <w:t xml:space="preserve"> El CONTRATISTA está obligado a cumplir con cualquiera otra que se derive natural y legalmente del objeto del contrato y sea exigible por constar en cualquier documento del mismo o en norma legal específicamente aplicable.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8.10.</w:t>
      </w:r>
      <w:r>
        <w:rPr>
          <w:rFonts w:ascii="Arial" w:hAnsi="Arial" w:eastAsia="Times New Roman" w:cs="Arial"/>
          <w:sz w:val="20"/>
          <w:szCs w:val="20"/>
          <w:lang w:bidi="hi-IN"/>
        </w:rPr>
        <w:t xml:space="preserve"> 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8.11.</w:t>
      </w:r>
      <w:r>
        <w:rPr>
          <w:rFonts w:ascii="Arial" w:hAnsi="Arial" w:eastAsia="Times New Roman" w:cs="Arial"/>
          <w:sz w:val="20"/>
          <w:szCs w:val="20"/>
          <w:lang w:bidi="hi-IN"/>
        </w:rPr>
        <w:t xml:space="preserve"> EL CONTRATISTA se obliga al cumplimiento de lo exigido en las CONDICIONES GENERALES PARA LA CONTRATACIÓN DE EJECUCION DE OBRAS y a lo establecido en la legislación ambiental, de seguridad industrial y salud ocupacional, seguridad social, laboral, etc.</w:t>
      </w:r>
    </w:p>
    <w:p>
      <w:pPr>
        <w:suppressAutoHyphens/>
        <w:spacing w:after="0" w:line="240" w:lineRule="auto"/>
        <w:jc w:val="both"/>
        <w:rPr>
          <w:rFonts w:ascii="Arial" w:hAnsi="Arial" w:eastAsia="Times New Roman" w:cs="Arial"/>
          <w:sz w:val="20"/>
          <w:szCs w:val="20"/>
          <w:lang w:bidi="hi-IN"/>
        </w:rPr>
      </w:pPr>
    </w:p>
    <w:p>
      <w:pPr>
        <w:spacing w:after="0" w:line="240" w:lineRule="auto"/>
        <w:jc w:val="both"/>
        <w:rPr>
          <w:rFonts w:ascii="Arial" w:hAnsi="Arial" w:cs="Arial"/>
          <w:lang w:eastAsia="hi-IN"/>
        </w:rPr>
      </w:pPr>
      <w:r>
        <w:rPr>
          <w:rFonts w:ascii="Arial" w:hAnsi="Arial" w:cs="Arial"/>
          <w:b/>
          <w:bCs/>
          <w:color w:val="000000"/>
          <w:lang w:eastAsia="hi-IN"/>
        </w:rPr>
        <w:t>8.12.</w:t>
      </w:r>
      <w:r>
        <w:rPr>
          <w:rFonts w:ascii="Arial" w:hAnsi="Arial" w:cs="Arial"/>
          <w:color w:val="000000"/>
          <w:lang w:eastAsia="hi-IN"/>
        </w:rPr>
        <w:t xml:space="preserve"> </w:t>
      </w:r>
      <w:r>
        <w:rPr>
          <w:rFonts w:ascii="Arial" w:hAnsi="Arial" w:cs="Arial"/>
          <w:lang w:eastAsia="hi-IN"/>
        </w:rPr>
        <w:t>El contratista, durante el tiempo que dure la ejecución de la obra, de ninguna forma o medio de comunicación, ya sea escrito, hablado o mediante redes sociales, podrá incluir en sus actividades publicidad referente a otra entidad, compañía, empresa o similar que no sea el Gobierno Autónomo Descentralizado Municipal del Cantón Cuenca.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val="es-ES" w:bidi="hi-IN"/>
        </w:rPr>
      </w:pPr>
      <w:r>
        <w:rPr>
          <w:rFonts w:ascii="Arial" w:hAnsi="Arial" w:eastAsia="Times New Roman" w:cs="Arial"/>
          <w:b/>
          <w:bCs/>
          <w:sz w:val="20"/>
          <w:szCs w:val="20"/>
          <w:lang w:val="es-ES" w:bidi="hi-IN"/>
        </w:rPr>
        <w:t>Cláusula Novena.- CONTRATOS COMPLEMENTARIOS, DIFERENCIA EN CANTIDADES DE OBRA U ÓRDENES DE TRABAJO.-</w:t>
      </w:r>
    </w:p>
    <w:p>
      <w:pPr>
        <w:suppressAutoHyphens/>
        <w:spacing w:after="0" w:line="240" w:lineRule="auto"/>
        <w:jc w:val="both"/>
        <w:rPr>
          <w:rFonts w:ascii="Arial" w:hAnsi="Arial" w:eastAsia="Times New Roman" w:cs="Arial"/>
          <w:sz w:val="20"/>
          <w:szCs w:val="20"/>
          <w:highlight w:val="yellow"/>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9.</w:t>
      </w:r>
      <w:r>
        <w:rPr>
          <w:rFonts w:ascii="Arial" w:hAnsi="Arial" w:eastAsia="Times New Roman" w:cs="Arial"/>
          <w:sz w:val="20"/>
          <w:szCs w:val="20"/>
          <w:lang w:bidi="hi-IN"/>
        </w:rPr>
        <w:t>1</w:t>
      </w:r>
      <w:r>
        <w:t xml:space="preserve"> </w:t>
      </w:r>
      <w:r>
        <w:rPr>
          <w:rFonts w:ascii="Arial" w:hAnsi="Arial" w:eastAsia="Times New Roman" w:cs="Arial"/>
          <w:sz w:val="20"/>
          <w:szCs w:val="20"/>
          <w:lang w:bidi="hi-IN"/>
        </w:rPr>
        <w:t>Por causas justificadas, las partes podrán firmar contratos complementarios o convenir en la ejecución de trabajos originados en diferencias en cantidades de obra u órdenes de trabajo, de conformidad con lo establecido en los artículos 85 y 86 de la LOSNCP; en los artículos 144 y 145 del RGLOSNCP; y en los artículos 8, 9 y 10 de la Ley de Eficiencia en la Contratación Pública, publicada en  el Segundo Suplemento del Registro Oficial N° 966 de fecha 20 de marzo de 2017, reformando a los artículos 87, 88 y 89 de la LOSNCP.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b/>
          <w:bCs/>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Décima.- RECEPCIÓN PROVISIONAL Y DEFINITIVA DE LAS OBRAS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10.1.- RECEPCIÓN PROVISIONAL</w:t>
      </w:r>
      <w:r>
        <w:rPr>
          <w:rFonts w:ascii="Arial" w:hAnsi="Arial" w:eastAsia="Times New Roman" w:cs="Arial"/>
          <w:sz w:val="20"/>
          <w:szCs w:val="20"/>
          <w:lang w:bidi="hi-IN"/>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pPr>
        <w:tabs>
          <w:tab w:val="left" w:pos="4875"/>
        </w:tabs>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b/>
      </w: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val="es-ES" w:bidi="hi-IN"/>
        </w:rPr>
      </w:pPr>
      <w:r>
        <w:rPr>
          <w:rFonts w:ascii="Arial" w:hAnsi="Arial" w:eastAsia="Times New Roman" w:cs="Arial"/>
          <w:sz w:val="20"/>
          <w:szCs w:val="20"/>
          <w:lang w:val="es-ES" w:bidi="hi-IN"/>
        </w:rPr>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10.</w:t>
      </w:r>
      <w:r>
        <w:rPr>
          <w:rFonts w:ascii="Arial" w:hAnsi="Arial" w:eastAsia="Times New Roman" w:cs="Arial"/>
          <w:b/>
          <w:bCs/>
          <w:sz w:val="20"/>
          <w:szCs w:val="20"/>
          <w:lang w:bidi="hi-IN"/>
        </w:rPr>
        <w:t>2.- RECEPCIÓN DEFINITIVA</w:t>
      </w:r>
      <w:r>
        <w:rPr>
          <w:rFonts w:ascii="Arial" w:hAnsi="Arial" w:eastAsia="Times New Roman" w:cs="Arial"/>
          <w:sz w:val="20"/>
          <w:szCs w:val="20"/>
          <w:lang w:bidi="hi-IN"/>
        </w:rPr>
        <w:t>: Transcurrido el término fijado, esto es seis meses desde la suscripción del acta de recepción provisional total, o de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10.3.</w:t>
      </w:r>
      <w:r>
        <w:rPr>
          <w:rFonts w:ascii="Arial" w:hAnsi="Arial" w:eastAsia="Times New Roman" w:cs="Arial"/>
          <w:sz w:val="20"/>
          <w:szCs w:val="20"/>
          <w:lang w:bidi="hi-IN"/>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CONTRATANTE pudiere ser subsanado dentro del proceso de recepción definitiva, se continuará con la misma, pero el acta respectiva sólo se firmará una vez solucionado el problema advertido.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10.4. </w:t>
      </w:r>
      <w:r>
        <w:rPr>
          <w:rFonts w:ascii="Arial" w:hAnsi="Arial" w:eastAsia="Times New Roman" w:cs="Arial"/>
          <w:sz w:val="20"/>
          <w:szCs w:val="20"/>
          <w:lang w:bidi="hi-IN"/>
        </w:rPr>
        <w:t>Todos los gastos adicionales que demanden la comprobación, verificación y pruebas, aún de laboratorio, son de cuenta del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10.5.</w:t>
      </w:r>
      <w:r>
        <w:rPr>
          <w:rFonts w:ascii="Arial" w:hAnsi="Arial" w:eastAsia="Times New Roman" w:cs="Arial"/>
          <w:sz w:val="20"/>
          <w:szCs w:val="20"/>
          <w:lang w:bidi="hi-IN"/>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10.6. </w:t>
      </w:r>
      <w:r>
        <w:rPr>
          <w:rFonts w:ascii="Arial" w:hAnsi="Arial" w:eastAsia="Times New Roman" w:cs="Arial"/>
          <w:sz w:val="20"/>
          <w:szCs w:val="20"/>
          <w:lang w:bidi="hi-IN"/>
        </w:rPr>
        <w:t>Operada la recepción definitiva presunta, a solicitud del CONTRATISTA o declarada por la CONTRATANTE, producirá como único efecto la terminación del contrato, dejando a salvo de los derechos de las partes a la liquidación técnico económica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Las partes buscarán en el plazo de 30 días posteriores a la recepción definitiva presunta suscribir el acta de la liquidación técnico-económica del contrato, sin perjuicio de iniciar las acciones legales de las que se crean asistidas.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10.7. ACTAS DE RECEPCIÓN:</w:t>
      </w:r>
      <w:r>
        <w:rPr>
          <w:rFonts w:ascii="Arial" w:hAnsi="Arial" w:eastAsia="Times New Roman" w:cs="Arial"/>
          <w:sz w:val="20"/>
          <w:szCs w:val="20"/>
          <w:lang w:bidi="hi-IN"/>
        </w:rPr>
        <w:t xml:space="preserve"> En cuanto al contenido de las actas de recepción parcial, provisional y definitiva, se observará lo establecido en el artículo 124 del RGLONSCP.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10.8. LIQUIDACIÓN DEL CONTRATO: </w:t>
      </w:r>
      <w:r>
        <w:rPr>
          <w:rFonts w:ascii="Arial" w:hAnsi="Arial" w:eastAsia="Times New Roman" w:cs="Arial"/>
          <w:sz w:val="20"/>
          <w:szCs w:val="20"/>
          <w:lang w:bidi="hi-IN"/>
        </w:rPr>
        <w:t>La liquidación final del contrato suscrita entre las partes se realizará en los términos previstos por el artículo 125 del RGLOSNCP.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 xml:space="preserve">10.9. </w:t>
      </w:r>
      <w:r>
        <w:rPr>
          <w:rFonts w:ascii="Arial" w:hAnsi="Arial" w:eastAsia="Times New Roman" w:cs="Arial"/>
          <w:b/>
          <w:bCs/>
          <w:sz w:val="20"/>
          <w:szCs w:val="20"/>
          <w:lang w:bidi="hi-IN"/>
        </w:rPr>
        <w:t xml:space="preserve">PLANILLA DE LIQUIDACIÓN: </w:t>
      </w:r>
      <w:r>
        <w:rPr>
          <w:rFonts w:ascii="Arial" w:hAnsi="Arial" w:eastAsia="Times New Roman" w:cs="Arial"/>
          <w:sz w:val="20"/>
          <w:szCs w:val="20"/>
          <w:lang w:bidi="hi-IN"/>
        </w:rPr>
        <w:t>Junto con la solicitud de entrega-recepción definitiva de las obras, el CONTRATISTA presentará una planilla del estado de cuenta final.</w:t>
      </w:r>
    </w:p>
    <w:p>
      <w:pPr>
        <w:suppressAutoHyphens/>
        <w:spacing w:after="0" w:line="240" w:lineRule="auto"/>
        <w:jc w:val="both"/>
        <w:rPr>
          <w:rFonts w:ascii="Arial" w:hAnsi="Arial" w:eastAsia="Times New Roman" w:cs="Arial"/>
          <w:sz w:val="20"/>
          <w:szCs w:val="20"/>
          <w:lang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Undécima.- RESPONSABILIDAD DEL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 xml:space="preserve">11.1. </w:t>
      </w:r>
      <w:r>
        <w:rPr>
          <w:rFonts w:ascii="Arial" w:hAnsi="Arial" w:eastAsia="Times New Roman" w:cs="Arial"/>
          <w:sz w:val="20"/>
          <w:szCs w:val="20"/>
          <w:lang w:bidi="hi-IN"/>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Cláusula Duodécima.- MANTENIMIENTO DE LA OBRA: </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 xml:space="preserve">12.1. </w:t>
      </w:r>
      <w:r>
        <w:rPr>
          <w:rFonts w:ascii="Arial" w:hAnsi="Arial" w:eastAsia="Times New Roman" w:cs="Arial"/>
          <w:sz w:val="20"/>
          <w:szCs w:val="20"/>
          <w:lang w:bidi="hi-IN"/>
        </w:rPr>
        <w:t>El mantenimiento rutinario y vigilancia de la obra, entre la recepción provisional y la definitiva, estará a cargo del CONTRATISTA, para lo cual deberá proporcionar el personal y las instalaciones adecuadas.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Décima Tercera.- TRIBUTOS, RETENCIONES Y GASTOS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13.1.</w:t>
      </w:r>
      <w:r>
        <w:rPr>
          <w:rFonts w:ascii="Arial" w:hAnsi="Arial" w:eastAsia="Times New Roman" w:cs="Arial"/>
          <w:sz w:val="20"/>
          <w:szCs w:val="20"/>
          <w:lang w:bidi="hi-IN"/>
        </w:rPr>
        <w:t xml:space="preserve"> La CONTRATANTE efectuará al CONTRATISTA las retenciones que dispongan las leyes tributarias, actuará como agente de retención del Impuesto a la Renta e  Impuesto al Valor Agregado, al efecto procederá conforme la legislación tributaria vigente.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13.2. </w:t>
      </w:r>
      <w:r>
        <w:rPr>
          <w:rFonts w:ascii="Arial" w:hAnsi="Arial" w:eastAsia="Times New Roman" w:cs="Arial"/>
          <w:sz w:val="20"/>
          <w:szCs w:val="20"/>
          <w:lang w:bidi="hi-IN"/>
        </w:rPr>
        <w:t>Es de cuenta del CONTRATISTA el pago de los gastos notariales, de las copias certificadas del contrato y los documentos que deban ser protocolizados. El CONTRATISTA entregará a la CONTRATANTE hasta dos copias de este contrato, debidamente protocolizadas, de acuerdo a lo previsto en la cláusula segunda. En caso de terminación por mutuo acuerdo, el pago de los derechos notariales y el de las copias será de cuenta del CONTRATISTA.</w:t>
      </w:r>
    </w:p>
    <w:p>
      <w:pPr>
        <w:suppressAutoHyphens/>
        <w:spacing w:after="0" w:line="240" w:lineRule="auto"/>
        <w:jc w:val="both"/>
        <w:rPr>
          <w:rFonts w:ascii="Arial" w:hAnsi="Arial" w:eastAsia="Times New Roman" w:cs="Arial"/>
          <w:sz w:val="20"/>
          <w:szCs w:val="20"/>
          <w:lang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Cuarta.- MULTAS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72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b/>
          <w:spacing w:val="-2"/>
          <w:sz w:val="20"/>
          <w:szCs w:val="20"/>
          <w:lang w:eastAsia="hi-IN" w:bidi="hi-IN"/>
        </w:rPr>
        <w:t>14.1.</w:t>
      </w:r>
      <w:r>
        <w:rPr>
          <w:rFonts w:ascii="Arial" w:hAnsi="Arial" w:eastAsia="Times New Roman" w:cs="Arial"/>
          <w:sz w:val="20"/>
          <w:szCs w:val="20"/>
          <w:lang w:eastAsia="hi-IN" w:bidi="hi-IN"/>
        </w:rPr>
        <w:t xml:space="preserve"> Una vez cumplido el plazo contractual más sus ampliaciones en caso de haberlas, y en caso de demora o retardo en la entrega de los trabajos objeto de este contrato,  por causas imputables al Contratista, éste pagará al </w:t>
      </w:r>
      <w:r>
        <w:rPr>
          <w:rFonts w:ascii="Arial" w:hAnsi="Arial" w:eastAsia="Times New Roman" w:cs="Arial"/>
          <w:spacing w:val="-2"/>
          <w:sz w:val="20"/>
          <w:szCs w:val="20"/>
          <w:lang w:eastAsia="hi-IN" w:bidi="hi-IN"/>
        </w:rPr>
        <w:t>Gobierno Autónomo Descentralizado Municipal de Cuenca</w:t>
      </w:r>
      <w:r>
        <w:rPr>
          <w:rFonts w:ascii="Arial" w:hAnsi="Arial" w:eastAsia="Times New Roman" w:cs="Arial"/>
          <w:sz w:val="20"/>
          <w:szCs w:val="20"/>
          <w:lang w:eastAsia="hi-IN" w:bidi="hi-IN"/>
        </w:rPr>
        <w:t xml:space="preserve"> una multa equivalente al dos por mil del monto total del contrato por cada día calendario de retraso.</w:t>
      </w:r>
    </w:p>
    <w:p>
      <w:pPr>
        <w:suppressAutoHyphens/>
        <w:spacing w:after="0" w:line="240" w:lineRule="auto"/>
        <w:ind w:right="-119"/>
        <w:jc w:val="both"/>
        <w:rPr>
          <w:rFonts w:ascii="Arial" w:hAnsi="Arial" w:eastAsia="Times New Roman" w:cs="Arial"/>
          <w:b/>
          <w:bCs/>
          <w:spacing w:val="-2"/>
          <w:sz w:val="20"/>
          <w:szCs w:val="20"/>
          <w:lang w:eastAsia="hi-IN" w:bidi="hi-IN"/>
        </w:rPr>
      </w:pPr>
    </w:p>
    <w:p>
      <w:p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b/>
          <w:bCs/>
          <w:spacing w:val="-2"/>
          <w:sz w:val="20"/>
          <w:szCs w:val="20"/>
          <w:lang w:eastAsia="hi-IN" w:bidi="hi-IN"/>
        </w:rPr>
        <w:t xml:space="preserve">14.2. </w:t>
      </w:r>
      <w:r>
        <w:rPr>
          <w:rFonts w:ascii="Arial" w:hAnsi="Arial" w:eastAsia="Times New Roman" w:cs="Arial"/>
          <w:sz w:val="20"/>
          <w:szCs w:val="20"/>
          <w:lang w:eastAsia="hi-IN" w:bidi="hi-IN"/>
        </w:rPr>
        <w:t>Si el Contratista no cumpliere mensualmente con el cronograma de avance de obra, se hará acreedor a una multa equivalente al uno por ciento (1%) de la diferencia entre el valor programado y lo ejecutado en la fecha respectiva. El mínimo cumplimiento a exigirse al Contratista será el 100% acumulado y programado para los meses anteriores al de la evaluación más el 80% de lo programado en el mes que se evalúa. Si el Contratista no presentare la programación y el cronograma valorado dentro de los primeros cinco días hábiles luego del pago del anticipo, la Entidad le entregará su programación y elaborará y entregará su cronograma valorado, los que serán de aceptación obligatoria para el Contratista, mismos que serán aplicables para medir los avances mensuales porcentuales de los trabajos ejecutados.</w:t>
      </w:r>
    </w:p>
    <w:p>
      <w:pPr>
        <w:tabs>
          <w:tab w:val="left" w:pos="360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ab/>
      </w:r>
    </w:p>
    <w:p>
      <w:pPr>
        <w:suppressAutoHyphens/>
        <w:spacing w:after="0" w:line="240" w:lineRule="auto"/>
        <w:ind w:right="-119"/>
        <w:jc w:val="both"/>
        <w:rPr>
          <w:rFonts w:ascii="Arial" w:hAnsi="Arial" w:eastAsia="Times New Roman" w:cs="Arial"/>
          <w:sz w:val="20"/>
          <w:szCs w:val="20"/>
          <w:lang w:eastAsia="hi-IN" w:bidi="hi-IN"/>
        </w:rPr>
      </w:pPr>
      <w:r>
        <w:rPr>
          <w:rFonts w:ascii="Times New Roman" w:hAnsi="Times New Roman" w:eastAsia="Times New Roman" w:cs="Arial"/>
          <w:b/>
          <w:bCs/>
          <w:sz w:val="20"/>
          <w:szCs w:val="20"/>
          <w:lang w:eastAsia="hi-IN" w:bidi="hi-IN"/>
        </w:rPr>
        <w:t xml:space="preserve">14.3. </w:t>
      </w:r>
      <w:r>
        <w:rPr>
          <w:rFonts w:ascii="Arial" w:hAnsi="Arial" w:eastAsia="Times New Roman" w:cs="Arial"/>
          <w:sz w:val="20"/>
          <w:szCs w:val="20"/>
          <w:lang w:eastAsia="hi-IN" w:bidi="hi-IN"/>
        </w:rPr>
        <w:t>Asimismo, el Gobierno Autónomo Descentralizado Municipal del cantón Cuenca,  impondrá al Contratista multas del uno por mil (1‰) del monto del contrato por cada día de incumplimiento, en los siguientes casos:</w:t>
      </w:r>
    </w:p>
    <w:p>
      <w:pPr>
        <w:suppressAutoHyphens/>
        <w:spacing w:after="0" w:line="240" w:lineRule="auto"/>
        <w:ind w:right="-119"/>
        <w:jc w:val="both"/>
        <w:rPr>
          <w:rFonts w:ascii="Arial" w:hAnsi="Arial" w:eastAsia="Times New Roman" w:cs="Arial"/>
          <w:sz w:val="20"/>
          <w:szCs w:val="20"/>
          <w:lang w:eastAsia="hi-IN" w:bidi="hi-IN"/>
        </w:rPr>
      </w:pPr>
    </w:p>
    <w:p>
      <w:pPr>
        <w:pStyle w:val="57"/>
        <w:numPr>
          <w:ilvl w:val="0"/>
          <w:numId w:val="20"/>
        </w:numPr>
        <w:rPr>
          <w:rFonts w:ascii="Arial" w:hAnsi="Arial" w:cs="Arial"/>
          <w:sz w:val="20"/>
        </w:rPr>
      </w:pPr>
      <w:r>
        <w:rPr>
          <w:rFonts w:ascii="Arial" w:hAnsi="Arial" w:cs="Arial"/>
          <w:sz w:val="20"/>
        </w:rPr>
        <w:t>Si no dispone del personal técnico u operacional o del equipo de construcción de acuerdo a los compromisos contractuales;</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Si el Contratista no acatare las órdenes de la Fiscalización y durante el tiempo que dure este incumplimiento.</w:t>
      </w:r>
    </w:p>
    <w:p>
      <w:pPr>
        <w:pStyle w:val="57"/>
        <w:numPr>
          <w:ilvl w:val="0"/>
          <w:numId w:val="20"/>
        </w:numPr>
        <w:rPr>
          <w:rFonts w:ascii="Arial" w:hAnsi="Arial" w:cs="Arial"/>
          <w:sz w:val="20"/>
        </w:rPr>
      </w:pPr>
      <w:r>
        <w:rPr>
          <w:rFonts w:ascii="Arial" w:hAnsi="Arial" w:cs="Arial"/>
          <w:sz w:val="20"/>
        </w:rPr>
        <w:t>Cuando intencionalmente el Contratista obstaculice los trabajos de otros Contratistas o de los trabajadores de la Entidad;</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atraso en la presentación de planillas.</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atraso en la solicitud de recepción provisional de la obra.</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no cumplir con las normas ambientales vigentes.</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publicitar durante la ejecución de la obra, a través de cualquier medio de comunicación, ya sea escrito, hablado o mediante redes sociales, a entidades, compañías o empresas que no sea el Gobierno Autónomo Descentralizado Municipal del cantón Cuenca.</w:t>
      </w:r>
    </w:p>
    <w:p>
      <w:pPr>
        <w:suppressAutoHyphens/>
        <w:spacing w:after="0" w:line="240" w:lineRule="auto"/>
        <w:ind w:right="-119"/>
        <w:jc w:val="both"/>
        <w:rPr>
          <w:rFonts w:ascii="Arial" w:hAnsi="Arial" w:eastAsia="Times New Roman" w:cs="Arial"/>
          <w:sz w:val="20"/>
          <w:szCs w:val="20"/>
          <w:lang w:eastAsia="hi-IN" w:bidi="hi-IN"/>
        </w:rPr>
      </w:pPr>
    </w:p>
    <w:p>
      <w:p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Además se sancionará con una multa del uno por mil (1‰) del monto del contrato por cada vez que se determine la omisión de problemas o incumplimientos del plan de manejo ambiental de manera frecuente; en los informes que el administrador del contrato detecte en los frentes de obra.</w:t>
      </w:r>
    </w:p>
    <w:p>
      <w:pPr>
        <w:tabs>
          <w:tab w:val="left" w:pos="-540"/>
        </w:tabs>
        <w:suppressAutoHyphens/>
        <w:spacing w:after="0" w:line="240" w:lineRule="auto"/>
        <w:ind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Quinta.- DEL REAJUSTE DE PRECIOS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15.1. </w:t>
      </w:r>
      <w:r>
        <w:rPr>
          <w:rFonts w:ascii="Arial" w:hAnsi="Arial" w:eastAsia="Times New Roman" w:cs="Arial"/>
          <w:spacing w:val="-2"/>
          <w:sz w:val="20"/>
          <w:szCs w:val="20"/>
          <w:lang w:eastAsia="hi-IN" w:bidi="hi-IN"/>
        </w:rPr>
        <w:t>El reajuste de precios para efectos del pago de las planillas se calculará de acuerdo con la(s) siguientes fórmula(s):</w:t>
      </w:r>
    </w:p>
    <w:p>
      <w:pPr>
        <w:tabs>
          <w:tab w:val="left" w:pos="1584"/>
        </w:tabs>
        <w:suppressAutoHyphens/>
        <w:spacing w:after="0" w:line="240" w:lineRule="auto"/>
        <w:ind w:left="15" w:right="45"/>
        <w:jc w:val="both"/>
        <w:rPr>
          <w:rFonts w:ascii="Arial" w:hAnsi="Arial" w:eastAsia="Times New Roman" w:cs="Arial"/>
          <w:b/>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p>
    <w:p>
      <w:pPr>
        <w:tabs>
          <w:tab w:val="left" w:pos="1584"/>
        </w:tabs>
        <w:suppressAutoHyphens/>
        <w:spacing w:after="0" w:line="240" w:lineRule="auto"/>
        <w:ind w:left="15" w:right="45"/>
        <w:jc w:val="both"/>
        <w:rPr>
          <w:rFonts w:ascii="Arial" w:hAnsi="Arial" w:eastAsia="Times New Roman" w:cs="Arial"/>
          <w:b/>
          <w:sz w:val="20"/>
          <w:szCs w:val="20"/>
          <w:lang w:eastAsia="hi-IN" w:bidi="hi-IN"/>
        </w:rPr>
      </w:pPr>
      <w:r>
        <w:rPr>
          <w:rFonts w:ascii="Arial" w:hAnsi="Arial" w:eastAsia="Times New Roman" w:cs="Arial"/>
          <w:b/>
          <w:sz w:val="20"/>
          <w:szCs w:val="20"/>
          <w:highlight w:val="green"/>
          <w:lang w:eastAsia="hi-IN" w:bidi="hi-IN"/>
        </w:rPr>
        <w:t>AQUÍ LA FORMULA POLINOMICA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720"/>
        </w:tabs>
        <w:suppressAutoHyphens/>
        <w:spacing w:after="0" w:line="240" w:lineRule="auto"/>
        <w:ind w:right="-119"/>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Dónde:</w:t>
      </w:r>
    </w:p>
    <w:p>
      <w:pPr>
        <w:tabs>
          <w:tab w:val="left" w:pos="-72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Pr:</w:t>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Valor reajustado del anticipo o de la planilla.</w:t>
      </w:r>
    </w:p>
    <w:p>
      <w:pPr>
        <w:tabs>
          <w:tab w:val="left" w:pos="-72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w:t>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Valor del anticipo o de la planilla calculada con las cantidades de obra ejecutada a los precios unitarios contractuales descontada la parte proporcional del anticipo, de haberlo pagado.</w:t>
      </w: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Subíndices  1: Índices de precios a la fecha de pago de la planilla o anticipo.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z w:val="20"/>
          <w:szCs w:val="20"/>
          <w:lang w:eastAsia="hi-IN" w:bidi="hi-IN"/>
        </w:rPr>
        <w:t>Subíndices 0: Índices de precios correspondientes a 30 días antes de la presentación de la oferta</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fecha de partida -sub cero-, corresponde a los treinta días anteriores de la fecha límite de presentación de las ofertas.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Sexta.- SUBCONTRATACIÓN</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16.1.</w:t>
      </w:r>
      <w:r>
        <w:rPr>
          <w:rFonts w:ascii="Arial" w:hAnsi="Arial" w:eastAsia="Times New Roman" w:cs="Arial"/>
          <w:spacing w:val="-2"/>
          <w:sz w:val="20"/>
          <w:szCs w:val="20"/>
          <w:lang w:eastAsia="hi-IN" w:bidi="hi-IN"/>
        </w:rPr>
        <w:t xml:space="preserve"> El CONTRATISTA podrá subcontratar determinados trabajos previa autorización de la entidad contratante siempre que el monto de la totalidad de lo subcontratado no exceda del 30% del valor total del contrato principal, y el subcontratista esté habilitado en el RUP.</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16.2.</w:t>
      </w:r>
      <w:r>
        <w:rPr>
          <w:rFonts w:ascii="Arial" w:hAnsi="Arial" w:eastAsia="Times New Roman" w:cs="Arial"/>
          <w:spacing w:val="-2"/>
          <w:sz w:val="20"/>
          <w:szCs w:val="20"/>
          <w:lang w:eastAsia="hi-IN" w:bidi="hi-IN"/>
        </w:rPr>
        <w:t xml:space="preserve"> El CONTRATISTA será el único responsable ante la CONTRATANTE por los actos u omisiones de sus subcontratistas y de las personas directa o indirectamente empleadas por ellos.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trike/>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Séptima.- DE LA ADMINISTRACIÓN DEL CONTRATO:</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17.1</w:t>
      </w:r>
      <w:r>
        <w:rPr>
          <w:rFonts w:ascii="Arial" w:hAnsi="Arial" w:eastAsia="Times New Roman" w:cs="Arial"/>
          <w:spacing w:val="-2"/>
          <w:sz w:val="20"/>
          <w:szCs w:val="20"/>
          <w:lang w:eastAsia="hi-IN" w:bidi="hi-IN"/>
        </w:rPr>
        <w:t xml:space="preserve"> LA CONTRATANTE designará al administrador del contrato, quien deberá atenerse a las condiciones generales que forman parte del presente contrato.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17.2</w:t>
      </w:r>
      <w:r>
        <w:rPr>
          <w:rFonts w:ascii="Arial" w:hAnsi="Arial" w:eastAsia="Times New Roman" w:cs="Arial"/>
          <w:spacing w:val="-2"/>
          <w:sz w:val="20"/>
          <w:szCs w:val="20"/>
          <w:lang w:eastAsia="hi-IN" w:bidi="hi-IN"/>
        </w:rPr>
        <w:t xml:space="preserve"> LA CONTRATANTE podrá cambiar de administrador del contrato, para lo cual bastará cursar al CONTRATISTA la respectiva comunicación; sin que sea necesario la modificación del texto contractual.</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Octava.- TERMINACION DEL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18.1. Terminación del contrato.-</w:t>
      </w:r>
      <w:r>
        <w:rPr>
          <w:rFonts w:ascii="Arial" w:hAnsi="Arial" w:eastAsia="Times New Roman" w:cs="Arial"/>
          <w:spacing w:val="-2"/>
          <w:sz w:val="20"/>
          <w:szCs w:val="20"/>
          <w:lang w:eastAsia="hi-IN" w:bidi="hi-IN"/>
        </w:rPr>
        <w:t>El contrato termina conforme lo previsto en el artículo 92 de la Ley Orgánica del Sistema Nacional de Contratación Pública y los causales establecidos en el presente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0"/>
          <w:tab w:val="left" w:pos="735"/>
          <w:tab w:val="left" w:pos="1881"/>
          <w:tab w:val="left" w:pos="7720"/>
        </w:tabs>
        <w:suppressAutoHyphens/>
        <w:spacing w:after="0" w:line="240" w:lineRule="auto"/>
        <w:jc w:val="both"/>
        <w:rPr>
          <w:rFonts w:ascii="Arial" w:hAnsi="Arial" w:eastAsia="Times New Roman" w:cs="Arial"/>
          <w:spacing w:val="-3"/>
          <w:sz w:val="20"/>
          <w:szCs w:val="20"/>
          <w:lang w:eastAsia="hi-IN" w:bidi="hi-IN"/>
        </w:rPr>
      </w:pPr>
      <w:r>
        <w:rPr>
          <w:rFonts w:ascii="Arial" w:hAnsi="Arial" w:eastAsia="Times New Roman" w:cs="Arial"/>
          <w:b/>
          <w:sz w:val="20"/>
          <w:szCs w:val="20"/>
          <w:lang w:eastAsia="hi-IN" w:bidi="hi-IN"/>
        </w:rPr>
        <w:t>18.2. Causales de Terminación unilateral del contrato.-</w:t>
      </w:r>
      <w:r>
        <w:rPr>
          <w:rFonts w:ascii="Arial" w:hAnsi="Arial" w:eastAsia="Times New Roman" w:cs="Arial"/>
          <w:sz w:val="20"/>
          <w:szCs w:val="20"/>
          <w:lang w:eastAsia="hi-IN" w:bidi="hi-IN"/>
        </w:rPr>
        <w:t>Tratándose de incumplimiento del CONTRATISTA, procederá la</w:t>
      </w:r>
      <w:r>
        <w:rPr>
          <w:rFonts w:ascii="Arial" w:hAnsi="Arial" w:eastAsia="Times New Roman" w:cs="Arial"/>
          <w:spacing w:val="-2"/>
          <w:sz w:val="20"/>
          <w:szCs w:val="20"/>
          <w:lang w:eastAsia="hi-IN" w:bidi="hi-IN"/>
        </w:rPr>
        <w:t xml:space="preserve"> declaración anticipada y unilateral de la CONTRATANTE, en los casos establecidos en el artículo 94 de la LOSNCP</w:t>
      </w:r>
      <w:r>
        <w:rPr>
          <w:rFonts w:ascii="Arial" w:hAnsi="Arial" w:eastAsia="Times New Roman" w:cs="Arial"/>
          <w:spacing w:val="-3"/>
          <w:sz w:val="20"/>
          <w:szCs w:val="20"/>
          <w:lang w:eastAsia="hi-IN" w:bidi="hi-IN"/>
        </w:rPr>
        <w:t>. Además, se considerarán las siguientes causales:</w:t>
      </w: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En caso de que la entidad contratante encontrare que existe inconsistencia, simulación y/o inexactitud en la información presentada por el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pPr>
        <w:suppressAutoHyphens/>
        <w:spacing w:after="0" w:line="240" w:lineRule="auto"/>
        <w:ind w:left="720"/>
        <w:rPr>
          <w:rFonts w:ascii="Arial" w:hAnsi="Arial" w:eastAsia="Times New Roman" w:cs="Arial"/>
          <w:spacing w:val="-2"/>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Si las multas exceden el monto de la garantía de fiel cumplimiento del contrato, la entidad podrá declarar la terminación anticipada y unilateral del contrato previo el trámite de ley; y, en caso de no darse, las multas se mantendrán mientras dure el incumplimiento.</w:t>
      </w:r>
    </w:p>
    <w:p>
      <w:pPr>
        <w:tabs>
          <w:tab w:val="left" w:pos="-540"/>
        </w:tabs>
        <w:suppressAutoHyphens/>
        <w:spacing w:after="0" w:line="240" w:lineRule="auto"/>
        <w:ind w:left="15" w:right="45"/>
        <w:jc w:val="both"/>
        <w:rPr>
          <w:rFonts w:ascii="Arial" w:hAnsi="Arial" w:eastAsia="Times New Roman" w:cs="Arial"/>
          <w:b/>
          <w:spacing w:val="-3"/>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b/>
          <w:spacing w:val="-3"/>
          <w:sz w:val="20"/>
          <w:szCs w:val="20"/>
          <w:lang w:eastAsia="hi-IN" w:bidi="hi-IN"/>
        </w:rPr>
        <w:t>18.3. Procedimiento de terminación unilateral.-</w:t>
      </w:r>
      <w:r>
        <w:rPr>
          <w:rFonts w:ascii="Arial" w:hAnsi="Arial" w:eastAsia="Times New Roman" w:cs="Arial"/>
          <w:spacing w:val="-3"/>
          <w:sz w:val="20"/>
          <w:szCs w:val="20"/>
          <w:lang w:eastAsia="hi-IN" w:bidi="hi-IN"/>
        </w:rPr>
        <w:t>El procedimiento a seguirse para la terminación unilateral del contrato será el previsto en el artículo 95 de la LOSNCP.</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bCs/>
          <w:sz w:val="20"/>
          <w:szCs w:val="20"/>
          <w:lang w:eastAsia="hi-IN" w:bidi="hi-IN"/>
        </w:rPr>
      </w:pPr>
      <w:r>
        <w:rPr>
          <w:rFonts w:ascii="Arial" w:hAnsi="Arial" w:eastAsia="Times New Roman" w:cs="Arial"/>
          <w:b/>
          <w:spacing w:val="-2"/>
          <w:sz w:val="20"/>
          <w:szCs w:val="20"/>
          <w:lang w:eastAsia="hi-IN" w:bidi="hi-IN"/>
        </w:rPr>
        <w:t xml:space="preserve">Cláusula Décima Novena.- </w:t>
      </w:r>
      <w:r>
        <w:rPr>
          <w:rFonts w:ascii="Arial" w:hAnsi="Arial" w:eastAsia="Times New Roman" w:cs="Arial"/>
          <w:b/>
          <w:bCs/>
          <w:sz w:val="20"/>
          <w:szCs w:val="20"/>
          <w:lang w:eastAsia="hi-IN" w:bidi="hi-IN"/>
        </w:rPr>
        <w:t>SOLUCIÓN DE CONTROVERSIAS</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 xml:space="preserve">19.1. </w:t>
      </w:r>
      <w:r>
        <w:rPr>
          <w:rFonts w:ascii="Arial" w:hAnsi="Arial" w:eastAsia="Times New Roman" w:cs="Arial"/>
          <w:sz w:val="20"/>
          <w:szCs w:val="20"/>
          <w:lang w:eastAsia="hi-IN" w:bidi="hi-IN"/>
        </w:rPr>
        <w:t>Si respecto de la divergencia o controversia existentes no se lograre un acuerdo directo entre  las partes, éstas se someterán al Centro de Mediación y Arbitraje de la Procuraduría General del Estado, sin perjuicio de lo establecido en el Código General de Procesos COGEP; siendo competente para conocer la controversia el Tribunal Distrital de lo Contencioso Administrativo que ejerce jurisdicción en el domicilio de la Entidad Contratante.</w:t>
      </w:r>
    </w:p>
    <w:p>
      <w:pPr>
        <w:suppressAutoHyphens/>
        <w:spacing w:after="0" w:line="240" w:lineRule="auto"/>
        <w:jc w:val="both"/>
        <w:rPr>
          <w:rFonts w:ascii="Arial" w:hAnsi="Arial" w:eastAsia="Times New Roman" w:cs="Arial"/>
          <w:sz w:val="20"/>
          <w:szCs w:val="20"/>
          <w:lang w:eastAsia="hi-IN" w:bidi="hi-IN"/>
        </w:rPr>
      </w:pP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19.2.</w:t>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La legislación aplicable a este contrato es la ecuatoriana. En consecuencia, el contratista declara conocer el ordenamiento jurídico ecuatoriano y por lo tanto, se entiende incorporado el mismo en todo lo que sea aplicable al presente contrato.</w:t>
      </w:r>
    </w:p>
    <w:p>
      <w:pPr>
        <w:tabs>
          <w:tab w:val="left" w:pos="714"/>
        </w:tabs>
        <w:suppressAutoHyphens/>
        <w:spacing w:after="0" w:line="240" w:lineRule="auto"/>
        <w:jc w:val="both"/>
        <w:rPr>
          <w:rFonts w:ascii="Arial" w:hAnsi="Arial" w:eastAsia="Times New Roman" w:cs="Arial"/>
          <w:b/>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Vigésima.- COMUNICACIONES ENTRE LAS PARTES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20.1. </w:t>
      </w:r>
      <w:r>
        <w:rPr>
          <w:rFonts w:ascii="Arial" w:hAnsi="Arial" w:eastAsia="Times New Roman" w:cs="Arial"/>
          <w:spacing w:val="-2"/>
          <w:sz w:val="20"/>
          <w:szCs w:val="20"/>
          <w:lang w:eastAsia="hi-IN" w:bidi="hi-IN"/>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Vigésima Primera.- DOMICILIO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21.1. </w:t>
      </w:r>
      <w:r>
        <w:rPr>
          <w:rFonts w:ascii="Arial" w:hAnsi="Arial" w:eastAsia="Times New Roman" w:cs="Arial"/>
          <w:spacing w:val="-2"/>
          <w:sz w:val="20"/>
          <w:szCs w:val="20"/>
          <w:lang w:eastAsia="hi-IN" w:bidi="hi-IN"/>
        </w:rPr>
        <w:t>Para todos los efectos de este contrato, las partes convienen en señalar su domicilio en la ciudad de Cuenca.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21.2.</w:t>
      </w:r>
      <w:r>
        <w:rPr>
          <w:rFonts w:ascii="Arial" w:hAnsi="Arial" w:eastAsia="Times New Roman" w:cs="Arial"/>
          <w:spacing w:val="-2"/>
          <w:sz w:val="20"/>
          <w:szCs w:val="20"/>
          <w:lang w:eastAsia="hi-IN" w:bidi="hi-IN"/>
        </w:rPr>
        <w:t xml:space="preserve"> Para efectos de comunicación o notificaciones, las partes señalan como su dirección, las siguientes: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CONTRATANTE: Dirección: Remigio Tamariz entre Alfonso Borrero y Remigio Romero (Edificio “González”), y Teléfonos: 4097823 / 4091890 / 2888927 / 2888981.</w:t>
      </w:r>
    </w:p>
    <w:p>
      <w:pPr>
        <w:tabs>
          <w:tab w:val="left" w:pos="-540"/>
        </w:tabs>
        <w:suppressAutoHyphens/>
        <w:spacing w:before="240"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El CONTRATISTA</w:t>
      </w:r>
    </w:p>
    <w:p>
      <w:pPr>
        <w:tabs>
          <w:tab w:val="left" w:pos="-540"/>
        </w:tabs>
        <w:suppressAutoHyphens/>
        <w:spacing w:after="0" w:line="240" w:lineRule="auto"/>
        <w:ind w:left="15" w:right="45"/>
        <w:jc w:val="both"/>
        <w:rPr>
          <w:rFonts w:ascii="Arial" w:hAnsi="Arial" w:eastAsia="Times New Roman" w:cs="Arial"/>
          <w:b/>
          <w:bCs/>
          <w:spacing w:val="-2"/>
          <w:kern w:val="32"/>
          <w:sz w:val="16"/>
          <w:szCs w:val="20"/>
          <w:lang w:val="es-ES" w:bidi="hi-IN"/>
        </w:rPr>
      </w:pPr>
      <w:r>
        <w:rPr>
          <w:rFonts w:ascii="Arial" w:hAnsi="Arial" w:eastAsia="Times New Roman" w:cs="Arial"/>
          <w:spacing w:val="-2"/>
          <w:sz w:val="20"/>
          <w:szCs w:val="20"/>
          <w:lang w:eastAsia="hi-IN" w:bidi="hi-IN"/>
        </w:rPr>
        <w:t>Dirección: ________________</w:t>
      </w:r>
      <w:r>
        <w:rPr>
          <w:rFonts w:ascii="Arial" w:hAnsi="Arial" w:eastAsia="Times New Roman" w:cs="Arial"/>
          <w:b/>
          <w:bCs/>
          <w:spacing w:val="-2"/>
          <w:kern w:val="32"/>
          <w:sz w:val="16"/>
          <w:szCs w:val="20"/>
          <w:lang w:val="es-ES" w:bidi="hi-IN"/>
        </w:rPr>
        <w:fldChar w:fldCharType="begin"/>
      </w:r>
      <w:r>
        <w:rPr>
          <w:rFonts w:ascii="Arial" w:hAnsi="Arial" w:eastAsia="Times New Roman" w:cs="Arial"/>
          <w:b/>
          <w:bCs/>
          <w:spacing w:val="-2"/>
          <w:kern w:val="32"/>
          <w:sz w:val="16"/>
          <w:szCs w:val="20"/>
          <w:lang w:val="es-ES" w:bidi="hi-IN"/>
        </w:rPr>
        <w:instrText xml:space="preserve"> MERGEFIELD DIRECCION </w:instrText>
      </w:r>
      <w:r>
        <w:rPr>
          <w:rFonts w:ascii="Arial" w:hAnsi="Arial" w:eastAsia="Times New Roman" w:cs="Arial"/>
          <w:b/>
          <w:bCs/>
          <w:spacing w:val="-2"/>
          <w:kern w:val="32"/>
          <w:sz w:val="16"/>
          <w:szCs w:val="20"/>
          <w:lang w:val="es-ES" w:bidi="hi-IN"/>
        </w:rPr>
        <w:fldChar w:fldCharType="end"/>
      </w:r>
    </w:p>
    <w:p>
      <w:pPr>
        <w:tabs>
          <w:tab w:val="left" w:pos="-540"/>
        </w:tabs>
        <w:suppressAutoHyphens/>
        <w:spacing w:after="0" w:line="240" w:lineRule="auto"/>
        <w:ind w:left="15" w:right="45"/>
        <w:jc w:val="both"/>
        <w:rPr>
          <w:rFonts w:ascii="Arial" w:hAnsi="Arial" w:eastAsia="Times New Roman" w:cs="Arial"/>
          <w:b/>
          <w:bCs/>
          <w:spacing w:val="-2"/>
          <w:kern w:val="32"/>
          <w:sz w:val="16"/>
          <w:szCs w:val="20"/>
          <w:lang w:val="es-ES" w:bidi="hi-IN"/>
        </w:rPr>
      </w:pPr>
      <w:r>
        <w:rPr>
          <w:rFonts w:ascii="Arial" w:hAnsi="Arial" w:eastAsia="Times New Roman" w:cs="Arial"/>
          <w:spacing w:val="-2"/>
          <w:sz w:val="20"/>
          <w:szCs w:val="20"/>
          <w:lang w:eastAsia="hi-IN" w:bidi="hi-IN"/>
        </w:rPr>
        <w:t>Teléfonos: __________________</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pacing w:val="-2"/>
          <w:sz w:val="20"/>
          <w:szCs w:val="20"/>
          <w:lang w:eastAsia="hi-IN" w:bidi="hi-IN"/>
        </w:rPr>
        <w:t xml:space="preserve">Correo electrónico: </w:t>
      </w:r>
      <w:r>
        <w:rPr>
          <w:rFonts w:ascii="Arial" w:hAnsi="Arial" w:eastAsia="Times New Roman" w:cs="Arial"/>
          <w:b/>
          <w:bCs/>
          <w:spacing w:val="-2"/>
          <w:kern w:val="32"/>
          <w:sz w:val="20"/>
          <w:szCs w:val="20"/>
          <w:lang w:val="es-ES" w:bidi="hi-IN"/>
        </w:rPr>
        <w:t>___________________</w:t>
      </w:r>
    </w:p>
    <w:p>
      <w:pPr>
        <w:suppressAutoHyphens/>
        <w:spacing w:before="240"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Las comunicaciones también podrán efectuarse a través de medios electrónicos.</w:t>
      </w:r>
    </w:p>
    <w:p>
      <w:pPr>
        <w:suppressAutoHyphens/>
        <w:spacing w:after="0" w:line="240" w:lineRule="auto"/>
        <w:ind w:left="15" w:right="45"/>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Vigésima Primera.- ACEPTACION DE LAS PARTES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21.1. Declaración.- </w:t>
      </w:r>
      <w:r>
        <w:rPr>
          <w:rFonts w:ascii="Arial" w:hAnsi="Arial" w:eastAsia="Times New Roman" w:cs="Arial"/>
          <w:spacing w:val="-2"/>
          <w:sz w:val="20"/>
          <w:szCs w:val="20"/>
          <w:lang w:eastAsia="hi-IN" w:bidi="hi-IN"/>
        </w:rPr>
        <w:t xml:space="preserve">Las partes libre, voluntaria y expresamente declaran que conocen y aceptan el texto íntegro del Contrato de Ejecución de Obras, las Especificaciones Técnicas y las </w:t>
      </w:r>
      <w:r>
        <w:rPr>
          <w:rFonts w:ascii="Arial" w:hAnsi="Arial" w:eastAsia="Times New Roman" w:cs="Arial"/>
          <w:sz w:val="20"/>
          <w:szCs w:val="20"/>
          <w:lang w:eastAsia="ar-SA" w:bidi="hi-IN"/>
        </w:rPr>
        <w:t>CONDICIONES GENERALES PARA LA CONTRATACIÓN DE EJECUCION DE OBRAS CUYO PRESUPUESTO REFERENCIAL SEA HASTA $2,000,000.00 ENMARCADAS BAJO FINANCIAMIENTO DE LA CAF</w:t>
      </w:r>
      <w:r>
        <w:rPr>
          <w:rFonts w:ascii="Arial" w:hAnsi="Arial" w:eastAsia="Times New Roman" w:cs="Arial"/>
          <w:spacing w:val="-2"/>
          <w:sz w:val="20"/>
          <w:szCs w:val="20"/>
          <w:lang w:eastAsia="hi-IN" w:bidi="hi-IN"/>
        </w:rPr>
        <w:t xml:space="preserve">; vigentes a la fecha de la Convocatoria del procedimiento de contratación, y que forma parte integrante del Contrato que lo están suscribiendo. </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3"/>
          <w:sz w:val="20"/>
          <w:szCs w:val="20"/>
          <w:lang w:eastAsia="hi-IN" w:bidi="hi-IN"/>
        </w:rPr>
        <w:t xml:space="preserve">21.2. </w:t>
      </w:r>
      <w:r>
        <w:rPr>
          <w:rFonts w:ascii="Arial" w:hAnsi="Arial" w:eastAsia="Times New Roman" w:cs="Arial"/>
          <w:spacing w:val="-3"/>
          <w:sz w:val="20"/>
          <w:szCs w:val="20"/>
          <w:lang w:eastAsia="hi-IN" w:bidi="hi-IN"/>
        </w:rPr>
        <w:t>Libre y voluntariamente, las partes expresamente declaran su aceptación a todo lo convenido en el presente contrato y se someten a sus estipulaciones.</w:t>
      </w: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r>
        <w:rPr>
          <w:rFonts w:ascii="Arial" w:hAnsi="Arial" w:eastAsia="Times New Roman" w:cs="Arial"/>
          <w:b/>
          <w:bCs/>
          <w:sz w:val="20"/>
          <w:szCs w:val="20"/>
          <w:lang w:bidi="hi-IN"/>
        </w:rPr>
        <w:t xml:space="preserve">   ___________________________</w:t>
      </w:r>
      <w:r>
        <w:rPr>
          <w:rFonts w:ascii="Arial" w:hAnsi="Arial" w:eastAsia="Times New Roman" w:cs="Arial"/>
          <w:b/>
          <w:bCs/>
          <w:sz w:val="20"/>
          <w:szCs w:val="20"/>
          <w:lang w:bidi="hi-IN"/>
        </w:rPr>
        <w:tab/>
      </w:r>
      <w:r>
        <w:rPr>
          <w:rFonts w:ascii="Arial" w:hAnsi="Arial" w:eastAsia="Times New Roman" w:cs="Arial"/>
          <w:b/>
          <w:bCs/>
          <w:sz w:val="20"/>
          <w:szCs w:val="20"/>
          <w:lang w:bidi="hi-IN"/>
        </w:rPr>
        <w:tab/>
      </w:r>
      <w:r>
        <w:rPr>
          <w:rFonts w:ascii="Arial" w:hAnsi="Arial" w:eastAsia="Times New Roman" w:cs="Arial"/>
          <w:b/>
          <w:bCs/>
          <w:sz w:val="20"/>
          <w:szCs w:val="20"/>
          <w:lang w:bidi="hi-IN"/>
        </w:rPr>
        <w:tab/>
      </w:r>
      <w:r>
        <w:rPr>
          <w:rFonts w:ascii="Arial" w:hAnsi="Arial" w:eastAsia="Times New Roman" w:cs="Arial"/>
          <w:b/>
          <w:bCs/>
          <w:sz w:val="20"/>
          <w:szCs w:val="20"/>
          <w:lang w:bidi="hi-IN"/>
        </w:rPr>
        <w:t>_____________________________</w:t>
      </w:r>
    </w:p>
    <w:p>
      <w:pPr>
        <w:widowControl w:val="0"/>
        <w:tabs>
          <w:tab w:val="left" w:pos="0"/>
          <w:tab w:val="left" w:pos="1044"/>
        </w:tabs>
        <w:suppressAutoHyphens/>
        <w:spacing w:before="100" w:beforeAutospacing="1" w:after="0" w:line="240" w:lineRule="auto"/>
        <w:ind w:left="17" w:right="45"/>
        <w:contextualSpacing/>
        <w:jc w:val="both"/>
        <w:outlineLvl w:val="3"/>
        <w:rPr>
          <w:rFonts w:ascii="Arial" w:hAnsi="Arial" w:eastAsia="Times New Roman" w:cs="Arial"/>
          <w:b/>
          <w:bCs/>
          <w:sz w:val="20"/>
          <w:szCs w:val="20"/>
          <w:lang w:bidi="hi-IN"/>
        </w:rPr>
      </w:pPr>
      <w:r>
        <w:rPr>
          <w:rFonts w:ascii="Arial" w:hAnsi="Arial" w:eastAsia="Times New Roman" w:cs="Arial"/>
          <w:spacing w:val="-3"/>
          <w:sz w:val="20"/>
          <w:szCs w:val="20"/>
          <w:lang w:eastAsia="hi-IN" w:bidi="hi-IN"/>
        </w:rPr>
        <w:t xml:space="preserve"> I</w:t>
      </w:r>
      <w:r>
        <w:rPr>
          <w:rFonts w:ascii="Arial" w:hAnsi="Arial" w:eastAsia="Times New Roman" w:cs="Arial"/>
          <w:sz w:val="20"/>
          <w:szCs w:val="20"/>
          <w:lang w:val="es-ES" w:bidi="hi-IN"/>
        </w:rPr>
        <w:t>ng. Marcelo Cabrera Palacios</w:t>
      </w:r>
      <w:r>
        <w:rPr>
          <w:rFonts w:ascii="Arial" w:hAnsi="Arial" w:eastAsia="Times New Roman" w:cs="Arial"/>
          <w:sz w:val="20"/>
          <w:szCs w:val="20"/>
          <w:lang w:val="es-ES" w:bidi="hi-IN"/>
        </w:rPr>
        <w:tab/>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 xml:space="preserve">                          Ing. </w:t>
      </w:r>
      <w:r>
        <w:rPr>
          <w:rFonts w:ascii="Arial" w:hAnsi="Arial" w:eastAsia="Times New Roman" w:cs="Arial"/>
          <w:bCs/>
          <w:spacing w:val="-2"/>
          <w:kern w:val="32"/>
          <w:sz w:val="20"/>
          <w:szCs w:val="20"/>
          <w:lang w:val="es-ES" w:bidi="hi-IN"/>
        </w:rPr>
        <w:fldChar w:fldCharType="begin"/>
      </w:r>
      <w:r>
        <w:rPr>
          <w:rFonts w:ascii="Arial" w:hAnsi="Arial" w:eastAsia="Times New Roman" w:cs="Arial"/>
          <w:bCs/>
          <w:spacing w:val="-2"/>
          <w:kern w:val="32"/>
          <w:sz w:val="20"/>
          <w:szCs w:val="20"/>
          <w:lang w:val="es-ES" w:bidi="hi-IN"/>
        </w:rPr>
        <w:instrText xml:space="preserve"> MERGEFIELD NOMBRE_CONTRATISTA </w:instrText>
      </w:r>
      <w:r>
        <w:rPr>
          <w:rFonts w:ascii="Arial" w:hAnsi="Arial" w:eastAsia="Times New Roman" w:cs="Arial"/>
          <w:bCs/>
          <w:spacing w:val="-2"/>
          <w:kern w:val="32"/>
          <w:sz w:val="20"/>
          <w:szCs w:val="20"/>
          <w:lang w:val="es-ES" w:bidi="hi-IN"/>
        </w:rPr>
        <w:fldChar w:fldCharType="separate"/>
      </w:r>
      <w:r>
        <w:rPr>
          <w:rFonts w:ascii="Arial" w:hAnsi="Arial" w:eastAsia="Times New Roman" w:cs="Arial"/>
          <w:bCs/>
          <w:spacing w:val="-2"/>
          <w:kern w:val="32"/>
          <w:sz w:val="20"/>
          <w:szCs w:val="20"/>
          <w:lang w:val="es-ES" w:bidi="hi-IN"/>
        </w:rPr>
        <w:t>«NOMBRE_CONTRATISTA»</w:t>
      </w:r>
      <w:r>
        <w:rPr>
          <w:rFonts w:ascii="Arial" w:hAnsi="Arial" w:eastAsia="Times New Roman" w:cs="Arial"/>
          <w:bCs/>
          <w:spacing w:val="-2"/>
          <w:kern w:val="32"/>
          <w:sz w:val="20"/>
          <w:szCs w:val="20"/>
          <w:lang w:val="es-ES" w:bidi="hi-IN"/>
        </w:rPr>
        <w:fldChar w:fldCharType="end"/>
      </w:r>
    </w:p>
    <w:p>
      <w:pPr>
        <w:widowControl w:val="0"/>
        <w:tabs>
          <w:tab w:val="left" w:pos="0"/>
          <w:tab w:val="left" w:pos="1044"/>
        </w:tabs>
        <w:suppressAutoHyphens/>
        <w:spacing w:before="100" w:beforeAutospacing="1" w:after="0" w:line="240" w:lineRule="auto"/>
        <w:ind w:left="17" w:right="45"/>
        <w:contextualSpacing/>
        <w:jc w:val="both"/>
        <w:outlineLvl w:val="3"/>
        <w:rPr>
          <w:rFonts w:ascii="Arial" w:hAnsi="Arial" w:eastAsia="Times New Roman" w:cs="Arial"/>
          <w:b/>
          <w:bCs/>
          <w:sz w:val="20"/>
          <w:szCs w:val="20"/>
          <w:lang w:bidi="hi-IN"/>
        </w:rPr>
      </w:pPr>
      <w:r>
        <w:rPr>
          <w:rFonts w:ascii="Arial" w:hAnsi="Arial" w:eastAsia="Times New Roman" w:cs="Arial"/>
          <w:b/>
          <w:bCs/>
          <w:sz w:val="20"/>
          <w:szCs w:val="20"/>
          <w:lang w:bidi="hi-IN"/>
        </w:rPr>
        <w:t xml:space="preserve">          ALCADE DE CUENCA</w:t>
      </w:r>
      <w:r>
        <w:rPr>
          <w:rFonts w:ascii="Arial" w:hAnsi="Arial" w:eastAsia="Times New Roman" w:cs="Arial"/>
          <w:b/>
          <w:bCs/>
          <w:sz w:val="20"/>
          <w:szCs w:val="20"/>
          <w:lang w:bidi="hi-IN"/>
        </w:rPr>
        <w:tab/>
      </w:r>
      <w:r>
        <w:rPr>
          <w:rFonts w:ascii="Arial" w:hAnsi="Arial" w:eastAsia="Times New Roman" w:cs="Arial"/>
          <w:b/>
          <w:bCs/>
          <w:sz w:val="20"/>
          <w:szCs w:val="20"/>
          <w:lang w:bidi="hi-IN"/>
        </w:rPr>
        <w:tab/>
      </w:r>
      <w:r>
        <w:rPr>
          <w:rFonts w:ascii="Arial" w:hAnsi="Arial" w:eastAsia="Times New Roman" w:cs="Arial"/>
          <w:b/>
          <w:bCs/>
          <w:sz w:val="20"/>
          <w:szCs w:val="20"/>
          <w:lang w:bidi="hi-IN"/>
        </w:rPr>
        <w:t xml:space="preserve">                                     EL CONTRATISTA</w:t>
      </w:r>
    </w:p>
    <w:sectPr>
      <w:headerReference r:id="rId3" w:type="default"/>
      <w:footerReference r:id="rId4" w:type="default"/>
      <w:pgSz w:w="12240" w:h="15840"/>
      <w:pgMar w:top="1951" w:right="1467" w:bottom="851" w:left="1418" w:header="426" w:footer="26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angal">
    <w:altName w:val="Courier New"/>
    <w:panose1 w:val="00000400000000000000"/>
    <w:charset w:val="01"/>
    <w:family w:val="roman"/>
    <w:pitch w:val="default"/>
    <w:sig w:usb0="00000000" w:usb1="00000000" w:usb2="00000000" w:usb3="00000000" w:csb0="00000000" w:csb1="00000000"/>
  </w:font>
  <w:font w:name="Flat Brush">
    <w:altName w:val="Courier New"/>
    <w:panose1 w:val="00000000000000000000"/>
    <w:charset w:val="00"/>
    <w:family w:val="auto"/>
    <w:pitch w:val="default"/>
    <w:sig w:usb0="00000000" w:usb1="00000000" w:usb2="00000000" w:usb3="00000000" w:csb0="00000000" w:csb1="00000000"/>
  </w:font>
  <w:font w:name="Dolphin">
    <w:altName w:val="Arial Narrow"/>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Arial Unicode MS">
    <w:panose1 w:val="020B0604020202020204"/>
    <w:charset w:val="80"/>
    <w:family w:val="swiss"/>
    <w:pitch w:val="default"/>
    <w:sig w:usb0="FFFFFFFF" w:usb1="E9FFFFFF" w:usb2="0000003F" w:usb3="00000000" w:csb0="603F01FF" w:csb1="FFFF0000"/>
  </w:font>
  <w:font w:name="Bookman Old Style">
    <w:panose1 w:val="02050604050505020204"/>
    <w:charset w:val="00"/>
    <w:family w:val="roman"/>
    <w:pitch w:val="default"/>
    <w:sig w:usb0="00000287" w:usb1="00000000" w:usb2="00000000" w:usb3="00000000" w:csb0="2000009F" w:csb1="DFD70000"/>
  </w:font>
  <w:font w:name="OpenSymbol">
    <w:altName w:val="Arnprior"/>
    <w:panose1 w:val="00000000000000000000"/>
    <w:charset w:val="00"/>
    <w:family w:val="auto"/>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Times Roman">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1011409"/>
    </w:sdtPr>
    <w:sdtEndPr>
      <w:rPr>
        <w:sz w:val="22"/>
      </w:rPr>
    </w:sdtEndPr>
    <w:sdtContent>
      <w:p>
        <w:pPr>
          <w:pStyle w:val="30"/>
          <w:tabs>
            <w:tab w:val="left" w:pos="2535"/>
            <w:tab w:val="right" w:pos="9355"/>
          </w:tabs>
          <w:rPr>
            <w:sz w:val="22"/>
          </w:rPr>
        </w:pPr>
        <w:r>
          <w:tab/>
        </w:r>
        <w:r>
          <w:tab/>
        </w:r>
        <w:r>
          <w:tab/>
        </w:r>
        <w:r>
          <w:tab/>
        </w:r>
        <w:r>
          <w:rPr>
            <w:sz w:val="22"/>
          </w:rPr>
          <w:fldChar w:fldCharType="begin"/>
        </w:r>
        <w:r>
          <w:rPr>
            <w:sz w:val="22"/>
          </w:rPr>
          <w:instrText xml:space="preserve">PAGE   \* MERGEFORMAT</w:instrText>
        </w:r>
        <w:r>
          <w:rPr>
            <w:sz w:val="22"/>
          </w:rPr>
          <w:fldChar w:fldCharType="separate"/>
        </w:r>
        <w:r>
          <w:rPr>
            <w:sz w:val="22"/>
            <w:lang w:val="es-ES"/>
          </w:rPr>
          <w:t>21</w:t>
        </w:r>
        <w:r>
          <w:rPr>
            <w:sz w:val="22"/>
          </w:rP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2520"/>
        <w:tab w:val="clear" w:pos="4419"/>
        <w:tab w:val="clear" w:pos="8838"/>
      </w:tabs>
      <w:rPr>
        <w:lang w:eastAsia="es-EC" w:bidi="ar-SA"/>
      </w:rPr>
    </w:pPr>
    <w:r>
      <w:rPr>
        <w:lang w:eastAsia="es-EC" w:bidi="ar-SA"/>
      </w:rPr>
      <w:drawing>
        <wp:anchor distT="0" distB="0" distL="114300" distR="114300" simplePos="0" relativeHeight="251659264" behindDoc="0" locked="0" layoutInCell="1" allowOverlap="1">
          <wp:simplePos x="0" y="0"/>
          <wp:positionH relativeFrom="column">
            <wp:posOffset>3870325</wp:posOffset>
          </wp:positionH>
          <wp:positionV relativeFrom="paragraph">
            <wp:posOffset>-62865</wp:posOffset>
          </wp:positionV>
          <wp:extent cx="1864995" cy="633730"/>
          <wp:effectExtent l="0" t="0" r="1905"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64995" cy="633730"/>
                  </a:xfrm>
                  <a:prstGeom prst="rect">
                    <a:avLst/>
                  </a:prstGeom>
                  <a:noFill/>
                  <a:ln>
                    <a:noFill/>
                  </a:ln>
                </pic:spPr>
              </pic:pic>
            </a:graphicData>
          </a:graphic>
        </wp:anchor>
      </w:drawing>
    </w:r>
    <w:r>
      <w:rPr>
        <w:lang w:eastAsia="es-EC" w:bidi="ar-SA"/>
      </w:rPr>
      <w:drawing>
        <wp:inline distT="0" distB="0" distL="0" distR="0">
          <wp:extent cx="2066925" cy="6286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628650"/>
                  </a:xfrm>
                  <a:prstGeom prst="rect">
                    <a:avLst/>
                  </a:prstGeom>
                  <a:noFill/>
                  <a:ln>
                    <a:noFill/>
                  </a:ln>
                </pic:spPr>
              </pic:pic>
            </a:graphicData>
          </a:graphic>
        </wp:inline>
      </w:drawing>
    </w:r>
  </w:p>
  <w:p>
    <w:pPr>
      <w:pStyle w:val="22"/>
      <w:tabs>
        <w:tab w:val="left" w:pos="2520"/>
        <w:tab w:val="clear" w:pos="4419"/>
        <w:tab w:val="clear" w:pos="8838"/>
      </w:tabs>
      <w:jc w:val="center"/>
      <w:rPr>
        <w:lang w:eastAsia="es-EC" w:bidi="ar-SA"/>
      </w:rPr>
    </w:pPr>
    <w:r>
      <w:rPr>
        <w:lang w:eastAsia="es-EC" w:bidi="ar-SA"/>
      </w:rPr>
      <w:tab/>
    </w:r>
    <w:r>
      <w:rPr>
        <w:lang w:eastAsia="es-EC" w:bidi="ar-SA"/>
      </w:rPr>
      <w:tab/>
    </w:r>
    <w:r>
      <w:rPr>
        <w:lang w:eastAsia="es-EC" w:bidi="ar-SA"/>
      </w:rPr>
      <w:tab/>
    </w:r>
    <w:r>
      <w:rPr>
        <w:lang w:eastAsia="es-EC" w:bidi="ar-SA"/>
      </w:rPr>
      <w:tab/>
    </w:r>
    <w:r>
      <w:rPr>
        <w:lang w:eastAsia="es-EC" w:bidi="ar-SA"/>
      </w:rPr>
      <w:tab/>
    </w:r>
  </w:p>
  <w:p>
    <w:pPr>
      <w:pStyle w:val="22"/>
      <w:tabs>
        <w:tab w:val="left" w:pos="2520"/>
        <w:tab w:val="clear" w:pos="4419"/>
        <w:tab w:val="clear" w:pos="8838"/>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28"/>
      <w:lvlText w:val=""/>
      <w:lvlJc w:val="left"/>
      <w:pPr>
        <w:tabs>
          <w:tab w:val="left" w:pos="643"/>
        </w:tabs>
        <w:ind w:left="643" w:hanging="360"/>
      </w:pPr>
      <w:rPr>
        <w:rFonts w:hint="default" w:ascii="Symbol" w:hAnsi="Symbol"/>
      </w:rPr>
    </w:lvl>
  </w:abstractNum>
  <w:abstractNum w:abstractNumId="1">
    <w:nsid w:val="00000022"/>
    <w:multiLevelType w:val="multilevel"/>
    <w:tmpl w:val="00000022"/>
    <w:lvl w:ilvl="0" w:tentative="0">
      <w:start w:val="1"/>
      <w:numFmt w:val="decimal"/>
      <w:lvlText w:val="%1."/>
      <w:lvlJc w:val="left"/>
      <w:pPr>
        <w:tabs>
          <w:tab w:val="left" w:pos="735"/>
        </w:tabs>
        <w:ind w:left="735" w:hanging="360"/>
      </w:pPr>
    </w:lvl>
    <w:lvl w:ilvl="1" w:tentative="0">
      <w:start w:val="1"/>
      <w:numFmt w:val="lowerLetter"/>
      <w:lvlText w:val="%2)"/>
      <w:lvlJc w:val="left"/>
      <w:pPr>
        <w:tabs>
          <w:tab w:val="left" w:pos="1095"/>
        </w:tabs>
        <w:ind w:left="1095" w:hanging="360"/>
      </w:pPr>
      <w:rPr>
        <w:b/>
      </w:rPr>
    </w:lvl>
    <w:lvl w:ilvl="2" w:tentative="0">
      <w:start w:val="1"/>
      <w:numFmt w:val="decimal"/>
      <w:lvlText w:val="%3."/>
      <w:lvlJc w:val="left"/>
      <w:pPr>
        <w:tabs>
          <w:tab w:val="left" w:pos="1455"/>
        </w:tabs>
        <w:ind w:left="1455" w:hanging="360"/>
      </w:pPr>
    </w:lvl>
    <w:lvl w:ilvl="3" w:tentative="0">
      <w:start w:val="1"/>
      <w:numFmt w:val="decimal"/>
      <w:lvlText w:val="%4."/>
      <w:lvlJc w:val="left"/>
      <w:pPr>
        <w:tabs>
          <w:tab w:val="left" w:pos="1815"/>
        </w:tabs>
        <w:ind w:left="1815" w:hanging="360"/>
      </w:pPr>
    </w:lvl>
    <w:lvl w:ilvl="4" w:tentative="0">
      <w:start w:val="1"/>
      <w:numFmt w:val="decimal"/>
      <w:lvlText w:val="%5."/>
      <w:lvlJc w:val="left"/>
      <w:pPr>
        <w:tabs>
          <w:tab w:val="left" w:pos="2175"/>
        </w:tabs>
        <w:ind w:left="2175" w:hanging="360"/>
      </w:pPr>
    </w:lvl>
    <w:lvl w:ilvl="5" w:tentative="0">
      <w:start w:val="1"/>
      <w:numFmt w:val="decimal"/>
      <w:lvlText w:val="%6."/>
      <w:lvlJc w:val="left"/>
      <w:pPr>
        <w:tabs>
          <w:tab w:val="left" w:pos="2535"/>
        </w:tabs>
        <w:ind w:left="2535" w:hanging="360"/>
      </w:pPr>
    </w:lvl>
    <w:lvl w:ilvl="6" w:tentative="0">
      <w:start w:val="1"/>
      <w:numFmt w:val="decimal"/>
      <w:lvlText w:val="%7."/>
      <w:lvlJc w:val="left"/>
      <w:pPr>
        <w:tabs>
          <w:tab w:val="left" w:pos="2895"/>
        </w:tabs>
        <w:ind w:left="2895" w:hanging="360"/>
      </w:pPr>
    </w:lvl>
    <w:lvl w:ilvl="7" w:tentative="0">
      <w:start w:val="1"/>
      <w:numFmt w:val="decimal"/>
      <w:lvlText w:val="%8."/>
      <w:lvlJc w:val="left"/>
      <w:pPr>
        <w:tabs>
          <w:tab w:val="left" w:pos="3255"/>
        </w:tabs>
        <w:ind w:left="3255" w:hanging="360"/>
      </w:pPr>
    </w:lvl>
    <w:lvl w:ilvl="8" w:tentative="0">
      <w:start w:val="1"/>
      <w:numFmt w:val="decimal"/>
      <w:lvlText w:val="%9."/>
      <w:lvlJc w:val="left"/>
      <w:pPr>
        <w:tabs>
          <w:tab w:val="left" w:pos="3615"/>
        </w:tabs>
        <w:ind w:left="3615" w:hanging="360"/>
      </w:pPr>
    </w:lvl>
  </w:abstractNum>
  <w:abstractNum w:abstractNumId="2">
    <w:nsid w:val="00000023"/>
    <w:multiLevelType w:val="multilevel"/>
    <w:tmpl w:val="00000023"/>
    <w:lvl w:ilvl="0" w:tentative="0">
      <w:start w:val="1"/>
      <w:numFmt w:val="decimal"/>
      <w:lvlText w:val="%1."/>
      <w:lvlJc w:val="left"/>
      <w:pPr>
        <w:tabs>
          <w:tab w:val="left" w:pos="720"/>
        </w:tabs>
        <w:ind w:left="720" w:hanging="360"/>
      </w:pPr>
      <w:rPr>
        <w:color w:val="auto"/>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15215299"/>
    <w:multiLevelType w:val="multilevel"/>
    <w:tmpl w:val="1521529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67075CE"/>
    <w:multiLevelType w:val="multilevel"/>
    <w:tmpl w:val="167075CE"/>
    <w:lvl w:ilvl="0" w:tentative="0">
      <w:start w:val="3"/>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7E6BF3"/>
    <w:multiLevelType w:val="multilevel"/>
    <w:tmpl w:val="1B7E6BF3"/>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4DB2774"/>
    <w:multiLevelType w:val="multilevel"/>
    <w:tmpl w:val="24DB2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6D9116B"/>
    <w:multiLevelType w:val="multilevel"/>
    <w:tmpl w:val="26D911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A959CE"/>
    <w:multiLevelType w:val="multilevel"/>
    <w:tmpl w:val="31A959CE"/>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5EA713E"/>
    <w:multiLevelType w:val="multilevel"/>
    <w:tmpl w:val="45EA713E"/>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6766CF9"/>
    <w:multiLevelType w:val="multilevel"/>
    <w:tmpl w:val="46766CF9"/>
    <w:lvl w:ilvl="0" w:tentative="0">
      <w:start w:val="1"/>
      <w:numFmt w:val="lowerLetter"/>
      <w:lvlText w:val="%1)"/>
      <w:lvlJc w:val="left"/>
      <w:pPr>
        <w:ind w:left="1440" w:hanging="360"/>
      </w:pPr>
      <w:rPr>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4CCF5934"/>
    <w:multiLevelType w:val="multilevel"/>
    <w:tmpl w:val="4CCF5934"/>
    <w:lvl w:ilvl="0" w:tentative="0">
      <w:start w:val="1"/>
      <w:numFmt w:val="lowerLetter"/>
      <w:lvlText w:val="%1)"/>
      <w:lvlJc w:val="left"/>
      <w:pPr>
        <w:ind w:left="720" w:hanging="360"/>
      </w:pPr>
      <w:rPr>
        <w:rFonts w:hint="default"/>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FC45EE8"/>
    <w:multiLevelType w:val="multilevel"/>
    <w:tmpl w:val="4FC45EE8"/>
    <w:lvl w:ilvl="0" w:tentative="0">
      <w:start w:val="6"/>
      <w:numFmt w:val="decimal"/>
      <w:lvlText w:val="%1"/>
      <w:lvlJc w:val="left"/>
      <w:pPr>
        <w:ind w:left="435" w:hanging="435"/>
      </w:pPr>
      <w:rPr>
        <w:rFonts w:hint="default"/>
        <w:color w:val="auto"/>
      </w:rPr>
    </w:lvl>
    <w:lvl w:ilvl="1" w:tentative="0">
      <w:start w:val="1"/>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b/>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080" w:hanging="108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440" w:hanging="1440"/>
      </w:pPr>
      <w:rPr>
        <w:rFonts w:hint="default"/>
        <w:color w:val="auto"/>
      </w:rPr>
    </w:lvl>
  </w:abstractNum>
  <w:abstractNum w:abstractNumId="13">
    <w:nsid w:val="5008053A"/>
    <w:multiLevelType w:val="multilevel"/>
    <w:tmpl w:val="5008053A"/>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14E52B0"/>
    <w:multiLevelType w:val="multilevel"/>
    <w:tmpl w:val="514E52B0"/>
    <w:lvl w:ilvl="0" w:tentative="0">
      <w:start w:val="1"/>
      <w:numFmt w:val="lowerLetter"/>
      <w:lvlText w:val="%1)"/>
      <w:lvlJc w:val="left"/>
      <w:pPr>
        <w:ind w:left="720" w:hanging="360"/>
      </w:pPr>
      <w:rPr>
        <w:rFonts w:hint="default"/>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A037402"/>
    <w:multiLevelType w:val="multilevel"/>
    <w:tmpl w:val="5A0374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32B24AF"/>
    <w:multiLevelType w:val="multilevel"/>
    <w:tmpl w:val="632B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D070069"/>
    <w:multiLevelType w:val="multilevel"/>
    <w:tmpl w:val="6D07006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48A1099"/>
    <w:multiLevelType w:val="multilevel"/>
    <w:tmpl w:val="748A1099"/>
    <w:lvl w:ilvl="0" w:tentative="0">
      <w:start w:val="1"/>
      <w:numFmt w:val="bullet"/>
      <w:lvlText w:val=""/>
      <w:lvlJc w:val="left"/>
      <w:pPr>
        <w:ind w:left="735" w:hanging="360"/>
      </w:pPr>
      <w:rPr>
        <w:rFonts w:hint="default" w:ascii="Symbol" w:hAnsi="Symbol"/>
      </w:rPr>
    </w:lvl>
    <w:lvl w:ilvl="1" w:tentative="0">
      <w:start w:val="1"/>
      <w:numFmt w:val="bullet"/>
      <w:lvlText w:val="o"/>
      <w:lvlJc w:val="left"/>
      <w:pPr>
        <w:ind w:left="1455" w:hanging="360"/>
      </w:pPr>
      <w:rPr>
        <w:rFonts w:hint="default" w:ascii="Courier New" w:hAnsi="Courier New" w:cs="Courier New"/>
      </w:rPr>
    </w:lvl>
    <w:lvl w:ilvl="2" w:tentative="0">
      <w:start w:val="1"/>
      <w:numFmt w:val="bullet"/>
      <w:lvlText w:val=""/>
      <w:lvlJc w:val="left"/>
      <w:pPr>
        <w:ind w:left="2175" w:hanging="360"/>
      </w:pPr>
      <w:rPr>
        <w:rFonts w:hint="default" w:ascii="Wingdings" w:hAnsi="Wingdings"/>
      </w:rPr>
    </w:lvl>
    <w:lvl w:ilvl="3" w:tentative="0">
      <w:start w:val="1"/>
      <w:numFmt w:val="bullet"/>
      <w:lvlText w:val=""/>
      <w:lvlJc w:val="left"/>
      <w:pPr>
        <w:ind w:left="2895" w:hanging="360"/>
      </w:pPr>
      <w:rPr>
        <w:rFonts w:hint="default" w:ascii="Symbol" w:hAnsi="Symbol"/>
      </w:rPr>
    </w:lvl>
    <w:lvl w:ilvl="4" w:tentative="0">
      <w:start w:val="1"/>
      <w:numFmt w:val="bullet"/>
      <w:lvlText w:val="o"/>
      <w:lvlJc w:val="left"/>
      <w:pPr>
        <w:ind w:left="3615" w:hanging="360"/>
      </w:pPr>
      <w:rPr>
        <w:rFonts w:hint="default" w:ascii="Courier New" w:hAnsi="Courier New" w:cs="Courier New"/>
      </w:rPr>
    </w:lvl>
    <w:lvl w:ilvl="5" w:tentative="0">
      <w:start w:val="1"/>
      <w:numFmt w:val="bullet"/>
      <w:lvlText w:val=""/>
      <w:lvlJc w:val="left"/>
      <w:pPr>
        <w:ind w:left="4335" w:hanging="360"/>
      </w:pPr>
      <w:rPr>
        <w:rFonts w:hint="default" w:ascii="Wingdings" w:hAnsi="Wingdings"/>
      </w:rPr>
    </w:lvl>
    <w:lvl w:ilvl="6" w:tentative="0">
      <w:start w:val="1"/>
      <w:numFmt w:val="bullet"/>
      <w:lvlText w:val=""/>
      <w:lvlJc w:val="left"/>
      <w:pPr>
        <w:ind w:left="5055" w:hanging="360"/>
      </w:pPr>
      <w:rPr>
        <w:rFonts w:hint="default" w:ascii="Symbol" w:hAnsi="Symbol"/>
      </w:rPr>
    </w:lvl>
    <w:lvl w:ilvl="7" w:tentative="0">
      <w:start w:val="1"/>
      <w:numFmt w:val="bullet"/>
      <w:lvlText w:val="o"/>
      <w:lvlJc w:val="left"/>
      <w:pPr>
        <w:ind w:left="5775" w:hanging="360"/>
      </w:pPr>
      <w:rPr>
        <w:rFonts w:hint="default" w:ascii="Courier New" w:hAnsi="Courier New" w:cs="Courier New"/>
      </w:rPr>
    </w:lvl>
    <w:lvl w:ilvl="8" w:tentative="0">
      <w:start w:val="1"/>
      <w:numFmt w:val="bullet"/>
      <w:lvlText w:val=""/>
      <w:lvlJc w:val="left"/>
      <w:pPr>
        <w:ind w:left="6495" w:hanging="360"/>
      </w:pPr>
      <w:rPr>
        <w:rFonts w:hint="default" w:ascii="Wingdings" w:hAnsi="Wingdings"/>
      </w:rPr>
    </w:lvl>
  </w:abstractNum>
  <w:abstractNum w:abstractNumId="19">
    <w:nsid w:val="7509215A"/>
    <w:multiLevelType w:val="multilevel"/>
    <w:tmpl w:val="75092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BCC19FD"/>
    <w:multiLevelType w:val="multilevel"/>
    <w:tmpl w:val="7BCC19FD"/>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7"/>
  </w:num>
  <w:num w:numId="3">
    <w:abstractNumId w:val="5"/>
  </w:num>
  <w:num w:numId="4">
    <w:abstractNumId w:val="9"/>
  </w:num>
  <w:num w:numId="5">
    <w:abstractNumId w:val="8"/>
  </w:num>
  <w:num w:numId="6">
    <w:abstractNumId w:val="4"/>
  </w:num>
  <w:num w:numId="7">
    <w:abstractNumId w:val="20"/>
  </w:num>
  <w:num w:numId="8">
    <w:abstractNumId w:val="13"/>
  </w:num>
  <w:num w:numId="9">
    <w:abstractNumId w:val="11"/>
  </w:num>
  <w:num w:numId="10">
    <w:abstractNumId w:val="14"/>
  </w:num>
  <w:num w:numId="11">
    <w:abstractNumId w:val="19"/>
  </w:num>
  <w:num w:numId="12">
    <w:abstractNumId w:val="7"/>
  </w:num>
  <w:num w:numId="13">
    <w:abstractNumId w:val="6"/>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12"/>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0A"/>
    <w:rsid w:val="000009FD"/>
    <w:rsid w:val="00000C32"/>
    <w:rsid w:val="00000FBF"/>
    <w:rsid w:val="00000FE8"/>
    <w:rsid w:val="00002371"/>
    <w:rsid w:val="00002438"/>
    <w:rsid w:val="00002872"/>
    <w:rsid w:val="00002AB3"/>
    <w:rsid w:val="00002BB3"/>
    <w:rsid w:val="0000312C"/>
    <w:rsid w:val="00003BFA"/>
    <w:rsid w:val="00003D2C"/>
    <w:rsid w:val="000043D8"/>
    <w:rsid w:val="000045E8"/>
    <w:rsid w:val="000050D0"/>
    <w:rsid w:val="0000577C"/>
    <w:rsid w:val="00005BCB"/>
    <w:rsid w:val="00005DDD"/>
    <w:rsid w:val="00006590"/>
    <w:rsid w:val="00006604"/>
    <w:rsid w:val="00006738"/>
    <w:rsid w:val="000069F2"/>
    <w:rsid w:val="000076BD"/>
    <w:rsid w:val="000077FB"/>
    <w:rsid w:val="00007A18"/>
    <w:rsid w:val="0001012E"/>
    <w:rsid w:val="000101FF"/>
    <w:rsid w:val="00010385"/>
    <w:rsid w:val="000104BF"/>
    <w:rsid w:val="00010FDB"/>
    <w:rsid w:val="00011244"/>
    <w:rsid w:val="00012ADD"/>
    <w:rsid w:val="00012DAF"/>
    <w:rsid w:val="00013C21"/>
    <w:rsid w:val="000140E1"/>
    <w:rsid w:val="0001417F"/>
    <w:rsid w:val="000146E5"/>
    <w:rsid w:val="00015330"/>
    <w:rsid w:val="00015499"/>
    <w:rsid w:val="000156E3"/>
    <w:rsid w:val="00015768"/>
    <w:rsid w:val="00015EF5"/>
    <w:rsid w:val="00016337"/>
    <w:rsid w:val="00016605"/>
    <w:rsid w:val="0001694C"/>
    <w:rsid w:val="00016ADB"/>
    <w:rsid w:val="0001717B"/>
    <w:rsid w:val="00017320"/>
    <w:rsid w:val="00017490"/>
    <w:rsid w:val="00020568"/>
    <w:rsid w:val="00020936"/>
    <w:rsid w:val="00020CDB"/>
    <w:rsid w:val="00021572"/>
    <w:rsid w:val="00021611"/>
    <w:rsid w:val="00021EB3"/>
    <w:rsid w:val="00021EE2"/>
    <w:rsid w:val="000231A9"/>
    <w:rsid w:val="00023268"/>
    <w:rsid w:val="00023293"/>
    <w:rsid w:val="00024889"/>
    <w:rsid w:val="00024ADB"/>
    <w:rsid w:val="00024D09"/>
    <w:rsid w:val="00025202"/>
    <w:rsid w:val="000254CF"/>
    <w:rsid w:val="0002551E"/>
    <w:rsid w:val="000260A7"/>
    <w:rsid w:val="0002612E"/>
    <w:rsid w:val="00026211"/>
    <w:rsid w:val="00026AB3"/>
    <w:rsid w:val="00026ADF"/>
    <w:rsid w:val="00026B0C"/>
    <w:rsid w:val="00026F56"/>
    <w:rsid w:val="00027362"/>
    <w:rsid w:val="000276DB"/>
    <w:rsid w:val="000277E3"/>
    <w:rsid w:val="00027AF6"/>
    <w:rsid w:val="00027F09"/>
    <w:rsid w:val="0003052D"/>
    <w:rsid w:val="00030570"/>
    <w:rsid w:val="000308BC"/>
    <w:rsid w:val="00030FEE"/>
    <w:rsid w:val="0003144D"/>
    <w:rsid w:val="00031C2A"/>
    <w:rsid w:val="00031FFD"/>
    <w:rsid w:val="00032559"/>
    <w:rsid w:val="000331E6"/>
    <w:rsid w:val="00033FE7"/>
    <w:rsid w:val="000341DC"/>
    <w:rsid w:val="00034B93"/>
    <w:rsid w:val="000358C5"/>
    <w:rsid w:val="00035BFF"/>
    <w:rsid w:val="000368D9"/>
    <w:rsid w:val="0003726A"/>
    <w:rsid w:val="000372E7"/>
    <w:rsid w:val="00037345"/>
    <w:rsid w:val="00037588"/>
    <w:rsid w:val="000378CA"/>
    <w:rsid w:val="00037A0A"/>
    <w:rsid w:val="00037CAA"/>
    <w:rsid w:val="00037DEC"/>
    <w:rsid w:val="0004095C"/>
    <w:rsid w:val="00040B22"/>
    <w:rsid w:val="00040BD3"/>
    <w:rsid w:val="00040C19"/>
    <w:rsid w:val="000410F4"/>
    <w:rsid w:val="000419E5"/>
    <w:rsid w:val="00041A0E"/>
    <w:rsid w:val="00042139"/>
    <w:rsid w:val="00042443"/>
    <w:rsid w:val="00042A0C"/>
    <w:rsid w:val="00043231"/>
    <w:rsid w:val="00043521"/>
    <w:rsid w:val="00043AD2"/>
    <w:rsid w:val="00043AD3"/>
    <w:rsid w:val="000443AD"/>
    <w:rsid w:val="00044830"/>
    <w:rsid w:val="00044C67"/>
    <w:rsid w:val="000450C1"/>
    <w:rsid w:val="000452DA"/>
    <w:rsid w:val="00045C92"/>
    <w:rsid w:val="00046050"/>
    <w:rsid w:val="00046BCE"/>
    <w:rsid w:val="00046F35"/>
    <w:rsid w:val="00047017"/>
    <w:rsid w:val="000470ED"/>
    <w:rsid w:val="00047253"/>
    <w:rsid w:val="00047940"/>
    <w:rsid w:val="00047B4C"/>
    <w:rsid w:val="000501D1"/>
    <w:rsid w:val="00050FB1"/>
    <w:rsid w:val="000511A6"/>
    <w:rsid w:val="0005195B"/>
    <w:rsid w:val="00051B5F"/>
    <w:rsid w:val="00052165"/>
    <w:rsid w:val="000521D8"/>
    <w:rsid w:val="00052475"/>
    <w:rsid w:val="000527E5"/>
    <w:rsid w:val="0005306C"/>
    <w:rsid w:val="000534BF"/>
    <w:rsid w:val="00053756"/>
    <w:rsid w:val="00053C40"/>
    <w:rsid w:val="00053DE7"/>
    <w:rsid w:val="0005413F"/>
    <w:rsid w:val="000543A3"/>
    <w:rsid w:val="0005470E"/>
    <w:rsid w:val="000547A9"/>
    <w:rsid w:val="000554B8"/>
    <w:rsid w:val="0005560F"/>
    <w:rsid w:val="0005587D"/>
    <w:rsid w:val="00055CFC"/>
    <w:rsid w:val="00055F22"/>
    <w:rsid w:val="00056805"/>
    <w:rsid w:val="00056A0C"/>
    <w:rsid w:val="00056AFE"/>
    <w:rsid w:val="00056CEE"/>
    <w:rsid w:val="000570B7"/>
    <w:rsid w:val="00057874"/>
    <w:rsid w:val="000578C3"/>
    <w:rsid w:val="00057F3E"/>
    <w:rsid w:val="00057FBB"/>
    <w:rsid w:val="00060115"/>
    <w:rsid w:val="00060CCA"/>
    <w:rsid w:val="00060DF0"/>
    <w:rsid w:val="00060F63"/>
    <w:rsid w:val="00061435"/>
    <w:rsid w:val="00061A40"/>
    <w:rsid w:val="00061DAC"/>
    <w:rsid w:val="0006214F"/>
    <w:rsid w:val="000623D7"/>
    <w:rsid w:val="0006297A"/>
    <w:rsid w:val="00063364"/>
    <w:rsid w:val="000637E6"/>
    <w:rsid w:val="0006485E"/>
    <w:rsid w:val="000650A2"/>
    <w:rsid w:val="000656D1"/>
    <w:rsid w:val="00065CD5"/>
    <w:rsid w:val="00065D6B"/>
    <w:rsid w:val="0006600C"/>
    <w:rsid w:val="0006602A"/>
    <w:rsid w:val="00066148"/>
    <w:rsid w:val="00066462"/>
    <w:rsid w:val="00067473"/>
    <w:rsid w:val="00067FB1"/>
    <w:rsid w:val="0007005E"/>
    <w:rsid w:val="0007010C"/>
    <w:rsid w:val="00070150"/>
    <w:rsid w:val="000711BD"/>
    <w:rsid w:val="000712C1"/>
    <w:rsid w:val="00071994"/>
    <w:rsid w:val="00071F54"/>
    <w:rsid w:val="000720A5"/>
    <w:rsid w:val="00072467"/>
    <w:rsid w:val="000727EC"/>
    <w:rsid w:val="00072ACE"/>
    <w:rsid w:val="00072C64"/>
    <w:rsid w:val="00072CB7"/>
    <w:rsid w:val="00072F7D"/>
    <w:rsid w:val="00073034"/>
    <w:rsid w:val="0007311A"/>
    <w:rsid w:val="00073372"/>
    <w:rsid w:val="00073CB9"/>
    <w:rsid w:val="00073D0E"/>
    <w:rsid w:val="00074725"/>
    <w:rsid w:val="00074BE6"/>
    <w:rsid w:val="00075227"/>
    <w:rsid w:val="00075238"/>
    <w:rsid w:val="000753C9"/>
    <w:rsid w:val="0007588C"/>
    <w:rsid w:val="00075B41"/>
    <w:rsid w:val="000760E3"/>
    <w:rsid w:val="000768D7"/>
    <w:rsid w:val="00077829"/>
    <w:rsid w:val="00077DA7"/>
    <w:rsid w:val="00077ED0"/>
    <w:rsid w:val="00077F9E"/>
    <w:rsid w:val="00080B9E"/>
    <w:rsid w:val="00080D0E"/>
    <w:rsid w:val="0008116A"/>
    <w:rsid w:val="00081D14"/>
    <w:rsid w:val="00081D49"/>
    <w:rsid w:val="00082413"/>
    <w:rsid w:val="0008272B"/>
    <w:rsid w:val="00082F26"/>
    <w:rsid w:val="00083581"/>
    <w:rsid w:val="000837BF"/>
    <w:rsid w:val="000837CB"/>
    <w:rsid w:val="000838C2"/>
    <w:rsid w:val="00083AF8"/>
    <w:rsid w:val="00083E52"/>
    <w:rsid w:val="00083EDF"/>
    <w:rsid w:val="000844C6"/>
    <w:rsid w:val="000847C6"/>
    <w:rsid w:val="0008481E"/>
    <w:rsid w:val="000849F3"/>
    <w:rsid w:val="00084D03"/>
    <w:rsid w:val="00084E19"/>
    <w:rsid w:val="0008508F"/>
    <w:rsid w:val="000855CB"/>
    <w:rsid w:val="00085DDC"/>
    <w:rsid w:val="0008698F"/>
    <w:rsid w:val="000869A7"/>
    <w:rsid w:val="00087189"/>
    <w:rsid w:val="000871DF"/>
    <w:rsid w:val="000874D6"/>
    <w:rsid w:val="00087710"/>
    <w:rsid w:val="0008776B"/>
    <w:rsid w:val="00087F3A"/>
    <w:rsid w:val="00087F74"/>
    <w:rsid w:val="00087FBF"/>
    <w:rsid w:val="000901F1"/>
    <w:rsid w:val="00090C5D"/>
    <w:rsid w:val="00091BE2"/>
    <w:rsid w:val="00092513"/>
    <w:rsid w:val="00094825"/>
    <w:rsid w:val="00094BAE"/>
    <w:rsid w:val="0009540C"/>
    <w:rsid w:val="0009583C"/>
    <w:rsid w:val="00095B58"/>
    <w:rsid w:val="00095CC0"/>
    <w:rsid w:val="0009674E"/>
    <w:rsid w:val="000968B1"/>
    <w:rsid w:val="00096F7B"/>
    <w:rsid w:val="0009714E"/>
    <w:rsid w:val="00097489"/>
    <w:rsid w:val="000975CC"/>
    <w:rsid w:val="00097969"/>
    <w:rsid w:val="00097AE4"/>
    <w:rsid w:val="00097AEA"/>
    <w:rsid w:val="00097DD3"/>
    <w:rsid w:val="000A015F"/>
    <w:rsid w:val="000A07E6"/>
    <w:rsid w:val="000A1597"/>
    <w:rsid w:val="000A1B7D"/>
    <w:rsid w:val="000A1CE7"/>
    <w:rsid w:val="000A1CFB"/>
    <w:rsid w:val="000A20C5"/>
    <w:rsid w:val="000A244F"/>
    <w:rsid w:val="000A25BB"/>
    <w:rsid w:val="000A2DD8"/>
    <w:rsid w:val="000A3757"/>
    <w:rsid w:val="000A38DC"/>
    <w:rsid w:val="000A3979"/>
    <w:rsid w:val="000A3C60"/>
    <w:rsid w:val="000A3D19"/>
    <w:rsid w:val="000A3E32"/>
    <w:rsid w:val="000A4B52"/>
    <w:rsid w:val="000A5480"/>
    <w:rsid w:val="000A5566"/>
    <w:rsid w:val="000A567B"/>
    <w:rsid w:val="000A576E"/>
    <w:rsid w:val="000A5B3C"/>
    <w:rsid w:val="000A5D7E"/>
    <w:rsid w:val="000A6080"/>
    <w:rsid w:val="000A626D"/>
    <w:rsid w:val="000A6A08"/>
    <w:rsid w:val="000A73DB"/>
    <w:rsid w:val="000A7B69"/>
    <w:rsid w:val="000A7DCD"/>
    <w:rsid w:val="000B08B3"/>
    <w:rsid w:val="000B12B2"/>
    <w:rsid w:val="000B1597"/>
    <w:rsid w:val="000B15F2"/>
    <w:rsid w:val="000B1A76"/>
    <w:rsid w:val="000B1F90"/>
    <w:rsid w:val="000B250E"/>
    <w:rsid w:val="000B2B68"/>
    <w:rsid w:val="000B2D6A"/>
    <w:rsid w:val="000B32BC"/>
    <w:rsid w:val="000B3E3A"/>
    <w:rsid w:val="000B4084"/>
    <w:rsid w:val="000B43D0"/>
    <w:rsid w:val="000B65D1"/>
    <w:rsid w:val="000B69BE"/>
    <w:rsid w:val="000B6AA7"/>
    <w:rsid w:val="000B6AB1"/>
    <w:rsid w:val="000B7031"/>
    <w:rsid w:val="000B705C"/>
    <w:rsid w:val="000B70F7"/>
    <w:rsid w:val="000C0730"/>
    <w:rsid w:val="000C08E6"/>
    <w:rsid w:val="000C0FA1"/>
    <w:rsid w:val="000C1216"/>
    <w:rsid w:val="000C1277"/>
    <w:rsid w:val="000C1427"/>
    <w:rsid w:val="000C15F6"/>
    <w:rsid w:val="000C18FF"/>
    <w:rsid w:val="000C19EF"/>
    <w:rsid w:val="000C1C75"/>
    <w:rsid w:val="000C20A5"/>
    <w:rsid w:val="000C2809"/>
    <w:rsid w:val="000C2936"/>
    <w:rsid w:val="000C2D40"/>
    <w:rsid w:val="000C2E58"/>
    <w:rsid w:val="000C31B8"/>
    <w:rsid w:val="000C3389"/>
    <w:rsid w:val="000C3A4C"/>
    <w:rsid w:val="000C3DFB"/>
    <w:rsid w:val="000C4216"/>
    <w:rsid w:val="000C42E8"/>
    <w:rsid w:val="000C4B23"/>
    <w:rsid w:val="000C4D7C"/>
    <w:rsid w:val="000C5105"/>
    <w:rsid w:val="000C5BB8"/>
    <w:rsid w:val="000C5F62"/>
    <w:rsid w:val="000C6145"/>
    <w:rsid w:val="000C626F"/>
    <w:rsid w:val="000C675D"/>
    <w:rsid w:val="000C714D"/>
    <w:rsid w:val="000C728C"/>
    <w:rsid w:val="000C736E"/>
    <w:rsid w:val="000C76FA"/>
    <w:rsid w:val="000C7B74"/>
    <w:rsid w:val="000C7E20"/>
    <w:rsid w:val="000C7FA2"/>
    <w:rsid w:val="000D0327"/>
    <w:rsid w:val="000D0529"/>
    <w:rsid w:val="000D05C0"/>
    <w:rsid w:val="000D0B65"/>
    <w:rsid w:val="000D0EAE"/>
    <w:rsid w:val="000D0EF5"/>
    <w:rsid w:val="000D15CA"/>
    <w:rsid w:val="000D1787"/>
    <w:rsid w:val="000D19EE"/>
    <w:rsid w:val="000D1CFB"/>
    <w:rsid w:val="000D1E15"/>
    <w:rsid w:val="000D2153"/>
    <w:rsid w:val="000D228C"/>
    <w:rsid w:val="000D2461"/>
    <w:rsid w:val="000D2876"/>
    <w:rsid w:val="000D2AF7"/>
    <w:rsid w:val="000D2BB1"/>
    <w:rsid w:val="000D2C96"/>
    <w:rsid w:val="000D2D4E"/>
    <w:rsid w:val="000D35E3"/>
    <w:rsid w:val="000D3601"/>
    <w:rsid w:val="000D3B71"/>
    <w:rsid w:val="000D3E21"/>
    <w:rsid w:val="000D452F"/>
    <w:rsid w:val="000D5151"/>
    <w:rsid w:val="000D51AC"/>
    <w:rsid w:val="000D541F"/>
    <w:rsid w:val="000D5493"/>
    <w:rsid w:val="000D5D09"/>
    <w:rsid w:val="000D5F7B"/>
    <w:rsid w:val="000D63E5"/>
    <w:rsid w:val="000D6405"/>
    <w:rsid w:val="000D6D5C"/>
    <w:rsid w:val="000D7045"/>
    <w:rsid w:val="000D75DB"/>
    <w:rsid w:val="000D7B14"/>
    <w:rsid w:val="000D7BC4"/>
    <w:rsid w:val="000D7DBD"/>
    <w:rsid w:val="000E005C"/>
    <w:rsid w:val="000E0272"/>
    <w:rsid w:val="000E0812"/>
    <w:rsid w:val="000E0B95"/>
    <w:rsid w:val="000E0D35"/>
    <w:rsid w:val="000E11E5"/>
    <w:rsid w:val="000E160A"/>
    <w:rsid w:val="000E194A"/>
    <w:rsid w:val="000E19A5"/>
    <w:rsid w:val="000E2099"/>
    <w:rsid w:val="000E254F"/>
    <w:rsid w:val="000E269D"/>
    <w:rsid w:val="000E2735"/>
    <w:rsid w:val="000E2952"/>
    <w:rsid w:val="000E2B58"/>
    <w:rsid w:val="000E2CD1"/>
    <w:rsid w:val="000E3823"/>
    <w:rsid w:val="000E3D8C"/>
    <w:rsid w:val="000E4684"/>
    <w:rsid w:val="000E4932"/>
    <w:rsid w:val="000E5844"/>
    <w:rsid w:val="000E5994"/>
    <w:rsid w:val="000E5D12"/>
    <w:rsid w:val="000E5E04"/>
    <w:rsid w:val="000E63B2"/>
    <w:rsid w:val="000E640E"/>
    <w:rsid w:val="000E6C56"/>
    <w:rsid w:val="000E7115"/>
    <w:rsid w:val="000E7736"/>
    <w:rsid w:val="000E7790"/>
    <w:rsid w:val="000E7A8F"/>
    <w:rsid w:val="000E7F6F"/>
    <w:rsid w:val="000F000B"/>
    <w:rsid w:val="000F0162"/>
    <w:rsid w:val="000F01E1"/>
    <w:rsid w:val="000F0254"/>
    <w:rsid w:val="000F0787"/>
    <w:rsid w:val="000F090A"/>
    <w:rsid w:val="000F142A"/>
    <w:rsid w:val="000F1815"/>
    <w:rsid w:val="000F26EE"/>
    <w:rsid w:val="000F2AD1"/>
    <w:rsid w:val="000F2D0C"/>
    <w:rsid w:val="000F2F4C"/>
    <w:rsid w:val="000F3BB3"/>
    <w:rsid w:val="000F3BC4"/>
    <w:rsid w:val="000F3CB6"/>
    <w:rsid w:val="000F3DCA"/>
    <w:rsid w:val="000F41AA"/>
    <w:rsid w:val="000F4744"/>
    <w:rsid w:val="000F4745"/>
    <w:rsid w:val="000F4BAD"/>
    <w:rsid w:val="000F4BC5"/>
    <w:rsid w:val="000F5EE9"/>
    <w:rsid w:val="000F60C2"/>
    <w:rsid w:val="000F6385"/>
    <w:rsid w:val="000F6464"/>
    <w:rsid w:val="000F6638"/>
    <w:rsid w:val="000F6A2D"/>
    <w:rsid w:val="000F6AD8"/>
    <w:rsid w:val="000F6F51"/>
    <w:rsid w:val="000F710E"/>
    <w:rsid w:val="000F78C6"/>
    <w:rsid w:val="00100635"/>
    <w:rsid w:val="0010069B"/>
    <w:rsid w:val="00100EE8"/>
    <w:rsid w:val="00101447"/>
    <w:rsid w:val="00101507"/>
    <w:rsid w:val="00101D37"/>
    <w:rsid w:val="00101F5C"/>
    <w:rsid w:val="00102907"/>
    <w:rsid w:val="00102A57"/>
    <w:rsid w:val="001034E7"/>
    <w:rsid w:val="0010363D"/>
    <w:rsid w:val="001042BC"/>
    <w:rsid w:val="001048F8"/>
    <w:rsid w:val="00104A07"/>
    <w:rsid w:val="001051DE"/>
    <w:rsid w:val="00105574"/>
    <w:rsid w:val="001055C5"/>
    <w:rsid w:val="00106013"/>
    <w:rsid w:val="00106847"/>
    <w:rsid w:val="00106943"/>
    <w:rsid w:val="00106B5F"/>
    <w:rsid w:val="0010731F"/>
    <w:rsid w:val="00110086"/>
    <w:rsid w:val="001104E2"/>
    <w:rsid w:val="0011056C"/>
    <w:rsid w:val="001111CD"/>
    <w:rsid w:val="00111596"/>
    <w:rsid w:val="00111A50"/>
    <w:rsid w:val="00111B46"/>
    <w:rsid w:val="00111D40"/>
    <w:rsid w:val="0011229C"/>
    <w:rsid w:val="0011248D"/>
    <w:rsid w:val="00112B31"/>
    <w:rsid w:val="00112D44"/>
    <w:rsid w:val="001131C5"/>
    <w:rsid w:val="00113365"/>
    <w:rsid w:val="001133D8"/>
    <w:rsid w:val="00113C3D"/>
    <w:rsid w:val="0011477E"/>
    <w:rsid w:val="00114E1C"/>
    <w:rsid w:val="00114E40"/>
    <w:rsid w:val="00114F5A"/>
    <w:rsid w:val="0011506E"/>
    <w:rsid w:val="00115AAF"/>
    <w:rsid w:val="00115B58"/>
    <w:rsid w:val="00115F57"/>
    <w:rsid w:val="00116155"/>
    <w:rsid w:val="00116284"/>
    <w:rsid w:val="001163B0"/>
    <w:rsid w:val="0011695B"/>
    <w:rsid w:val="00116A09"/>
    <w:rsid w:val="00117165"/>
    <w:rsid w:val="00117B50"/>
    <w:rsid w:val="00120B50"/>
    <w:rsid w:val="00120E70"/>
    <w:rsid w:val="00121737"/>
    <w:rsid w:val="001217EA"/>
    <w:rsid w:val="00121CDD"/>
    <w:rsid w:val="001222D3"/>
    <w:rsid w:val="0012237F"/>
    <w:rsid w:val="001225ED"/>
    <w:rsid w:val="00122831"/>
    <w:rsid w:val="00122B3E"/>
    <w:rsid w:val="00123511"/>
    <w:rsid w:val="001237A7"/>
    <w:rsid w:val="00123B02"/>
    <w:rsid w:val="0012425E"/>
    <w:rsid w:val="001245EB"/>
    <w:rsid w:val="00125071"/>
    <w:rsid w:val="00125965"/>
    <w:rsid w:val="00125A77"/>
    <w:rsid w:val="001265E0"/>
    <w:rsid w:val="00126894"/>
    <w:rsid w:val="00126F26"/>
    <w:rsid w:val="001273A6"/>
    <w:rsid w:val="00127F79"/>
    <w:rsid w:val="00130188"/>
    <w:rsid w:val="00130B43"/>
    <w:rsid w:val="0013163C"/>
    <w:rsid w:val="00131AF6"/>
    <w:rsid w:val="00131B75"/>
    <w:rsid w:val="00131E27"/>
    <w:rsid w:val="00132270"/>
    <w:rsid w:val="0013233C"/>
    <w:rsid w:val="001324C5"/>
    <w:rsid w:val="0013263A"/>
    <w:rsid w:val="00132804"/>
    <w:rsid w:val="00132A88"/>
    <w:rsid w:val="00132FCD"/>
    <w:rsid w:val="001330EF"/>
    <w:rsid w:val="0013318F"/>
    <w:rsid w:val="001344EE"/>
    <w:rsid w:val="00134CAA"/>
    <w:rsid w:val="00134DD0"/>
    <w:rsid w:val="00135342"/>
    <w:rsid w:val="001353E9"/>
    <w:rsid w:val="0013566B"/>
    <w:rsid w:val="001357E1"/>
    <w:rsid w:val="0013586F"/>
    <w:rsid w:val="00135D88"/>
    <w:rsid w:val="00135E54"/>
    <w:rsid w:val="00136432"/>
    <w:rsid w:val="0013670E"/>
    <w:rsid w:val="00136A6E"/>
    <w:rsid w:val="001373F2"/>
    <w:rsid w:val="001378A2"/>
    <w:rsid w:val="00137A45"/>
    <w:rsid w:val="00137D67"/>
    <w:rsid w:val="001405C7"/>
    <w:rsid w:val="00140D0E"/>
    <w:rsid w:val="00141463"/>
    <w:rsid w:val="00141CBE"/>
    <w:rsid w:val="00142939"/>
    <w:rsid w:val="00142B5F"/>
    <w:rsid w:val="00142F35"/>
    <w:rsid w:val="001432C7"/>
    <w:rsid w:val="0014345B"/>
    <w:rsid w:val="00143D7C"/>
    <w:rsid w:val="001443A5"/>
    <w:rsid w:val="00144B0B"/>
    <w:rsid w:val="00145485"/>
    <w:rsid w:val="00145B74"/>
    <w:rsid w:val="0014631F"/>
    <w:rsid w:val="001463B8"/>
    <w:rsid w:val="0014641E"/>
    <w:rsid w:val="00146672"/>
    <w:rsid w:val="0014699A"/>
    <w:rsid w:val="00146B78"/>
    <w:rsid w:val="0014702D"/>
    <w:rsid w:val="001501F2"/>
    <w:rsid w:val="0015024C"/>
    <w:rsid w:val="001504EE"/>
    <w:rsid w:val="00150780"/>
    <w:rsid w:val="001507E1"/>
    <w:rsid w:val="00150C54"/>
    <w:rsid w:val="00150CF3"/>
    <w:rsid w:val="00150D98"/>
    <w:rsid w:val="00150EC2"/>
    <w:rsid w:val="0015118D"/>
    <w:rsid w:val="001511E3"/>
    <w:rsid w:val="0015162C"/>
    <w:rsid w:val="00151C64"/>
    <w:rsid w:val="00151D4D"/>
    <w:rsid w:val="0015229F"/>
    <w:rsid w:val="001529BC"/>
    <w:rsid w:val="00152EF7"/>
    <w:rsid w:val="00152F91"/>
    <w:rsid w:val="001532EC"/>
    <w:rsid w:val="00153DEA"/>
    <w:rsid w:val="00153F0F"/>
    <w:rsid w:val="00154348"/>
    <w:rsid w:val="00154DE7"/>
    <w:rsid w:val="0015512E"/>
    <w:rsid w:val="00155188"/>
    <w:rsid w:val="001557E0"/>
    <w:rsid w:val="001558D6"/>
    <w:rsid w:val="00156270"/>
    <w:rsid w:val="00157B40"/>
    <w:rsid w:val="00157CAD"/>
    <w:rsid w:val="00160212"/>
    <w:rsid w:val="00160950"/>
    <w:rsid w:val="00160A89"/>
    <w:rsid w:val="00160E33"/>
    <w:rsid w:val="00161E63"/>
    <w:rsid w:val="00161FDD"/>
    <w:rsid w:val="00162300"/>
    <w:rsid w:val="001623FF"/>
    <w:rsid w:val="001625C9"/>
    <w:rsid w:val="00162941"/>
    <w:rsid w:val="00162C25"/>
    <w:rsid w:val="00162E4A"/>
    <w:rsid w:val="0016307B"/>
    <w:rsid w:val="00163838"/>
    <w:rsid w:val="00164525"/>
    <w:rsid w:val="0016455E"/>
    <w:rsid w:val="001646CA"/>
    <w:rsid w:val="00164C1D"/>
    <w:rsid w:val="0016534E"/>
    <w:rsid w:val="00165A22"/>
    <w:rsid w:val="00165D3A"/>
    <w:rsid w:val="00165D81"/>
    <w:rsid w:val="001662CA"/>
    <w:rsid w:val="00166546"/>
    <w:rsid w:val="00166884"/>
    <w:rsid w:val="00166CA1"/>
    <w:rsid w:val="00167438"/>
    <w:rsid w:val="00167C9D"/>
    <w:rsid w:val="00167CBD"/>
    <w:rsid w:val="00170673"/>
    <w:rsid w:val="00171A14"/>
    <w:rsid w:val="00171E59"/>
    <w:rsid w:val="00172510"/>
    <w:rsid w:val="001727CE"/>
    <w:rsid w:val="001728A9"/>
    <w:rsid w:val="00172BF0"/>
    <w:rsid w:val="00173C4F"/>
    <w:rsid w:val="00174062"/>
    <w:rsid w:val="001744E3"/>
    <w:rsid w:val="00174880"/>
    <w:rsid w:val="00174938"/>
    <w:rsid w:val="00174BE1"/>
    <w:rsid w:val="00175E10"/>
    <w:rsid w:val="00176376"/>
    <w:rsid w:val="00176647"/>
    <w:rsid w:val="0017672D"/>
    <w:rsid w:val="00176A2C"/>
    <w:rsid w:val="00180233"/>
    <w:rsid w:val="00180471"/>
    <w:rsid w:val="00180577"/>
    <w:rsid w:val="00180C50"/>
    <w:rsid w:val="00180C75"/>
    <w:rsid w:val="00181F17"/>
    <w:rsid w:val="00182404"/>
    <w:rsid w:val="0018265A"/>
    <w:rsid w:val="00183859"/>
    <w:rsid w:val="00183F60"/>
    <w:rsid w:val="001849D8"/>
    <w:rsid w:val="001858DF"/>
    <w:rsid w:val="00185C60"/>
    <w:rsid w:val="00185DDC"/>
    <w:rsid w:val="00186200"/>
    <w:rsid w:val="00186615"/>
    <w:rsid w:val="00186668"/>
    <w:rsid w:val="00190C5E"/>
    <w:rsid w:val="00190F25"/>
    <w:rsid w:val="00191018"/>
    <w:rsid w:val="00191423"/>
    <w:rsid w:val="00191741"/>
    <w:rsid w:val="00191DED"/>
    <w:rsid w:val="00192339"/>
    <w:rsid w:val="00192437"/>
    <w:rsid w:val="00192AF0"/>
    <w:rsid w:val="00192FB4"/>
    <w:rsid w:val="0019301C"/>
    <w:rsid w:val="00193353"/>
    <w:rsid w:val="0019338E"/>
    <w:rsid w:val="00193B9B"/>
    <w:rsid w:val="001943A6"/>
    <w:rsid w:val="00194B27"/>
    <w:rsid w:val="0019578B"/>
    <w:rsid w:val="001959D1"/>
    <w:rsid w:val="0019657E"/>
    <w:rsid w:val="0019660A"/>
    <w:rsid w:val="0019698A"/>
    <w:rsid w:val="00196A45"/>
    <w:rsid w:val="001970BD"/>
    <w:rsid w:val="00197953"/>
    <w:rsid w:val="00197EE2"/>
    <w:rsid w:val="001A0069"/>
    <w:rsid w:val="001A061D"/>
    <w:rsid w:val="001A07CE"/>
    <w:rsid w:val="001A090D"/>
    <w:rsid w:val="001A1081"/>
    <w:rsid w:val="001A1992"/>
    <w:rsid w:val="001A1EF2"/>
    <w:rsid w:val="001A253E"/>
    <w:rsid w:val="001A2AC4"/>
    <w:rsid w:val="001A2C0A"/>
    <w:rsid w:val="001A3094"/>
    <w:rsid w:val="001A413F"/>
    <w:rsid w:val="001A4422"/>
    <w:rsid w:val="001A44E2"/>
    <w:rsid w:val="001A486D"/>
    <w:rsid w:val="001A4B94"/>
    <w:rsid w:val="001A519A"/>
    <w:rsid w:val="001A5C62"/>
    <w:rsid w:val="001A6C04"/>
    <w:rsid w:val="001A7351"/>
    <w:rsid w:val="001A7BE5"/>
    <w:rsid w:val="001B0116"/>
    <w:rsid w:val="001B054E"/>
    <w:rsid w:val="001B09FA"/>
    <w:rsid w:val="001B0CC9"/>
    <w:rsid w:val="001B1189"/>
    <w:rsid w:val="001B128C"/>
    <w:rsid w:val="001B1AE4"/>
    <w:rsid w:val="001B1CD5"/>
    <w:rsid w:val="001B1ECA"/>
    <w:rsid w:val="001B23C3"/>
    <w:rsid w:val="001B2935"/>
    <w:rsid w:val="001B2A06"/>
    <w:rsid w:val="001B2E83"/>
    <w:rsid w:val="001B31B0"/>
    <w:rsid w:val="001B3420"/>
    <w:rsid w:val="001B3B6B"/>
    <w:rsid w:val="001B43FA"/>
    <w:rsid w:val="001B44FC"/>
    <w:rsid w:val="001B5072"/>
    <w:rsid w:val="001B516C"/>
    <w:rsid w:val="001B52F8"/>
    <w:rsid w:val="001B5745"/>
    <w:rsid w:val="001B6B27"/>
    <w:rsid w:val="001B78FE"/>
    <w:rsid w:val="001B7B07"/>
    <w:rsid w:val="001B7CD7"/>
    <w:rsid w:val="001C0387"/>
    <w:rsid w:val="001C03DA"/>
    <w:rsid w:val="001C07A6"/>
    <w:rsid w:val="001C0844"/>
    <w:rsid w:val="001C0F59"/>
    <w:rsid w:val="001C0FDE"/>
    <w:rsid w:val="001C1507"/>
    <w:rsid w:val="001C1F78"/>
    <w:rsid w:val="001C208D"/>
    <w:rsid w:val="001C282E"/>
    <w:rsid w:val="001C310E"/>
    <w:rsid w:val="001C3566"/>
    <w:rsid w:val="001C3DC9"/>
    <w:rsid w:val="001C40CB"/>
    <w:rsid w:val="001C4283"/>
    <w:rsid w:val="001C4AC9"/>
    <w:rsid w:val="001C4BA8"/>
    <w:rsid w:val="001C55A6"/>
    <w:rsid w:val="001C5E70"/>
    <w:rsid w:val="001C617B"/>
    <w:rsid w:val="001C6222"/>
    <w:rsid w:val="001C6481"/>
    <w:rsid w:val="001C653C"/>
    <w:rsid w:val="001C66CE"/>
    <w:rsid w:val="001C6734"/>
    <w:rsid w:val="001C6B63"/>
    <w:rsid w:val="001C6E8C"/>
    <w:rsid w:val="001C762D"/>
    <w:rsid w:val="001C7BB7"/>
    <w:rsid w:val="001D042F"/>
    <w:rsid w:val="001D059C"/>
    <w:rsid w:val="001D0684"/>
    <w:rsid w:val="001D0942"/>
    <w:rsid w:val="001D0AC5"/>
    <w:rsid w:val="001D1549"/>
    <w:rsid w:val="001D1D9F"/>
    <w:rsid w:val="001D1E20"/>
    <w:rsid w:val="001D1EE7"/>
    <w:rsid w:val="001D20FB"/>
    <w:rsid w:val="001D23CE"/>
    <w:rsid w:val="001D2C2B"/>
    <w:rsid w:val="001D2CA0"/>
    <w:rsid w:val="001D3938"/>
    <w:rsid w:val="001D3AC0"/>
    <w:rsid w:val="001D4711"/>
    <w:rsid w:val="001D4937"/>
    <w:rsid w:val="001D504B"/>
    <w:rsid w:val="001D51BE"/>
    <w:rsid w:val="001D6277"/>
    <w:rsid w:val="001D675E"/>
    <w:rsid w:val="001D6BF7"/>
    <w:rsid w:val="001D6C67"/>
    <w:rsid w:val="001D75E4"/>
    <w:rsid w:val="001D7985"/>
    <w:rsid w:val="001D7E4A"/>
    <w:rsid w:val="001D7E68"/>
    <w:rsid w:val="001E0E72"/>
    <w:rsid w:val="001E1C61"/>
    <w:rsid w:val="001E2280"/>
    <w:rsid w:val="001E2AE3"/>
    <w:rsid w:val="001E2C14"/>
    <w:rsid w:val="001E35F1"/>
    <w:rsid w:val="001E3621"/>
    <w:rsid w:val="001E37F8"/>
    <w:rsid w:val="001E3E46"/>
    <w:rsid w:val="001E3F44"/>
    <w:rsid w:val="001E40AB"/>
    <w:rsid w:val="001E5635"/>
    <w:rsid w:val="001E5AF0"/>
    <w:rsid w:val="001E5B08"/>
    <w:rsid w:val="001E5F7B"/>
    <w:rsid w:val="001E6183"/>
    <w:rsid w:val="001E64C0"/>
    <w:rsid w:val="001E6ECA"/>
    <w:rsid w:val="001E748F"/>
    <w:rsid w:val="001E79CC"/>
    <w:rsid w:val="001F02BE"/>
    <w:rsid w:val="001F037F"/>
    <w:rsid w:val="001F0EC2"/>
    <w:rsid w:val="001F0EF2"/>
    <w:rsid w:val="001F1DD7"/>
    <w:rsid w:val="001F1F66"/>
    <w:rsid w:val="001F20E0"/>
    <w:rsid w:val="001F21D4"/>
    <w:rsid w:val="001F2BEB"/>
    <w:rsid w:val="001F30E4"/>
    <w:rsid w:val="001F32E0"/>
    <w:rsid w:val="001F3494"/>
    <w:rsid w:val="001F4432"/>
    <w:rsid w:val="001F4756"/>
    <w:rsid w:val="001F47B7"/>
    <w:rsid w:val="001F4B28"/>
    <w:rsid w:val="001F4CED"/>
    <w:rsid w:val="001F4FA2"/>
    <w:rsid w:val="001F53D4"/>
    <w:rsid w:val="001F53DA"/>
    <w:rsid w:val="001F58DF"/>
    <w:rsid w:val="001F5948"/>
    <w:rsid w:val="001F658A"/>
    <w:rsid w:val="001F6993"/>
    <w:rsid w:val="001F6C5A"/>
    <w:rsid w:val="001F6F80"/>
    <w:rsid w:val="001F765B"/>
    <w:rsid w:val="002000B1"/>
    <w:rsid w:val="0020108B"/>
    <w:rsid w:val="00201528"/>
    <w:rsid w:val="00201F70"/>
    <w:rsid w:val="002020F7"/>
    <w:rsid w:val="00202ED5"/>
    <w:rsid w:val="0020312C"/>
    <w:rsid w:val="0020315C"/>
    <w:rsid w:val="002032AC"/>
    <w:rsid w:val="002034A5"/>
    <w:rsid w:val="002044B6"/>
    <w:rsid w:val="002044DB"/>
    <w:rsid w:val="002045E7"/>
    <w:rsid w:val="00204694"/>
    <w:rsid w:val="00205D56"/>
    <w:rsid w:val="00205F1A"/>
    <w:rsid w:val="00206074"/>
    <w:rsid w:val="00206625"/>
    <w:rsid w:val="00206890"/>
    <w:rsid w:val="002071CE"/>
    <w:rsid w:val="00207557"/>
    <w:rsid w:val="0021070B"/>
    <w:rsid w:val="0021074D"/>
    <w:rsid w:val="002111A0"/>
    <w:rsid w:val="0021150C"/>
    <w:rsid w:val="002116B9"/>
    <w:rsid w:val="00211AE2"/>
    <w:rsid w:val="00211DBE"/>
    <w:rsid w:val="00212316"/>
    <w:rsid w:val="002125F3"/>
    <w:rsid w:val="002126F8"/>
    <w:rsid w:val="002128BF"/>
    <w:rsid w:val="002128EA"/>
    <w:rsid w:val="00212B55"/>
    <w:rsid w:val="00212D26"/>
    <w:rsid w:val="00213A4F"/>
    <w:rsid w:val="00213AD5"/>
    <w:rsid w:val="00213C2C"/>
    <w:rsid w:val="00213CF2"/>
    <w:rsid w:val="00213EB1"/>
    <w:rsid w:val="00213F08"/>
    <w:rsid w:val="00213F0F"/>
    <w:rsid w:val="002146D3"/>
    <w:rsid w:val="00214B01"/>
    <w:rsid w:val="00214DB6"/>
    <w:rsid w:val="002156DC"/>
    <w:rsid w:val="00215D59"/>
    <w:rsid w:val="0021672B"/>
    <w:rsid w:val="00217148"/>
    <w:rsid w:val="0021719B"/>
    <w:rsid w:val="002171D4"/>
    <w:rsid w:val="00217506"/>
    <w:rsid w:val="00217549"/>
    <w:rsid w:val="00217D74"/>
    <w:rsid w:val="002203F3"/>
    <w:rsid w:val="00220464"/>
    <w:rsid w:val="0022067A"/>
    <w:rsid w:val="002206AC"/>
    <w:rsid w:val="00220E53"/>
    <w:rsid w:val="00221FC5"/>
    <w:rsid w:val="00222264"/>
    <w:rsid w:val="00222682"/>
    <w:rsid w:val="00222A27"/>
    <w:rsid w:val="002237F1"/>
    <w:rsid w:val="00223A71"/>
    <w:rsid w:val="00223B82"/>
    <w:rsid w:val="00224169"/>
    <w:rsid w:val="00224A52"/>
    <w:rsid w:val="00224F97"/>
    <w:rsid w:val="002251CB"/>
    <w:rsid w:val="0022527C"/>
    <w:rsid w:val="00225C46"/>
    <w:rsid w:val="0022620D"/>
    <w:rsid w:val="0022626C"/>
    <w:rsid w:val="00226A56"/>
    <w:rsid w:val="00226D4D"/>
    <w:rsid w:val="00227275"/>
    <w:rsid w:val="002279D0"/>
    <w:rsid w:val="00227C0B"/>
    <w:rsid w:val="00227D3B"/>
    <w:rsid w:val="0023076A"/>
    <w:rsid w:val="00230AA6"/>
    <w:rsid w:val="00230CD5"/>
    <w:rsid w:val="00231100"/>
    <w:rsid w:val="00231953"/>
    <w:rsid w:val="00231E92"/>
    <w:rsid w:val="00232259"/>
    <w:rsid w:val="00232828"/>
    <w:rsid w:val="0023285F"/>
    <w:rsid w:val="002330CC"/>
    <w:rsid w:val="002331B6"/>
    <w:rsid w:val="002341C9"/>
    <w:rsid w:val="00234A6F"/>
    <w:rsid w:val="00234FD0"/>
    <w:rsid w:val="002350CC"/>
    <w:rsid w:val="00235304"/>
    <w:rsid w:val="00235527"/>
    <w:rsid w:val="00235532"/>
    <w:rsid w:val="002355A4"/>
    <w:rsid w:val="00235F28"/>
    <w:rsid w:val="002362B4"/>
    <w:rsid w:val="00236780"/>
    <w:rsid w:val="00236DE3"/>
    <w:rsid w:val="00236DEF"/>
    <w:rsid w:val="00236F2F"/>
    <w:rsid w:val="00237171"/>
    <w:rsid w:val="002372B3"/>
    <w:rsid w:val="002378BF"/>
    <w:rsid w:val="00237A52"/>
    <w:rsid w:val="0024006C"/>
    <w:rsid w:val="00240504"/>
    <w:rsid w:val="00240BA2"/>
    <w:rsid w:val="00240FDB"/>
    <w:rsid w:val="0024161E"/>
    <w:rsid w:val="002424EC"/>
    <w:rsid w:val="00242A71"/>
    <w:rsid w:val="00243C9F"/>
    <w:rsid w:val="00243CB2"/>
    <w:rsid w:val="00243D78"/>
    <w:rsid w:val="00243E80"/>
    <w:rsid w:val="00244434"/>
    <w:rsid w:val="00244E4E"/>
    <w:rsid w:val="00245129"/>
    <w:rsid w:val="0024519B"/>
    <w:rsid w:val="0024591D"/>
    <w:rsid w:val="00246030"/>
    <w:rsid w:val="0024615F"/>
    <w:rsid w:val="002467A8"/>
    <w:rsid w:val="00246896"/>
    <w:rsid w:val="00246C38"/>
    <w:rsid w:val="00246CB3"/>
    <w:rsid w:val="00246F10"/>
    <w:rsid w:val="00247A8B"/>
    <w:rsid w:val="00250E3C"/>
    <w:rsid w:val="00250F29"/>
    <w:rsid w:val="00251404"/>
    <w:rsid w:val="002515BB"/>
    <w:rsid w:val="002523C8"/>
    <w:rsid w:val="00252659"/>
    <w:rsid w:val="002526E3"/>
    <w:rsid w:val="002528E9"/>
    <w:rsid w:val="00252ED5"/>
    <w:rsid w:val="002530AF"/>
    <w:rsid w:val="00253A79"/>
    <w:rsid w:val="00253E9B"/>
    <w:rsid w:val="0025448D"/>
    <w:rsid w:val="002544E1"/>
    <w:rsid w:val="00254786"/>
    <w:rsid w:val="00254AA4"/>
    <w:rsid w:val="00254DDD"/>
    <w:rsid w:val="002554C4"/>
    <w:rsid w:val="0025584A"/>
    <w:rsid w:val="00255989"/>
    <w:rsid w:val="00255BC2"/>
    <w:rsid w:val="00255C4E"/>
    <w:rsid w:val="00255D3E"/>
    <w:rsid w:val="002563F7"/>
    <w:rsid w:val="00256662"/>
    <w:rsid w:val="00256926"/>
    <w:rsid w:val="00256F9A"/>
    <w:rsid w:val="002570BB"/>
    <w:rsid w:val="00257CE6"/>
    <w:rsid w:val="0026002B"/>
    <w:rsid w:val="00260105"/>
    <w:rsid w:val="0026030E"/>
    <w:rsid w:val="00260E73"/>
    <w:rsid w:val="00260E89"/>
    <w:rsid w:val="00260F52"/>
    <w:rsid w:val="002613E0"/>
    <w:rsid w:val="00262765"/>
    <w:rsid w:val="00262843"/>
    <w:rsid w:val="002630FB"/>
    <w:rsid w:val="0026378E"/>
    <w:rsid w:val="002645D1"/>
    <w:rsid w:val="00264DB6"/>
    <w:rsid w:val="002650E7"/>
    <w:rsid w:val="00265375"/>
    <w:rsid w:val="0026561A"/>
    <w:rsid w:val="00265EAC"/>
    <w:rsid w:val="00266A49"/>
    <w:rsid w:val="00266D26"/>
    <w:rsid w:val="00266EF8"/>
    <w:rsid w:val="002672EA"/>
    <w:rsid w:val="00267327"/>
    <w:rsid w:val="002674BA"/>
    <w:rsid w:val="00267F41"/>
    <w:rsid w:val="00270191"/>
    <w:rsid w:val="002704B9"/>
    <w:rsid w:val="00270CCE"/>
    <w:rsid w:val="00270D43"/>
    <w:rsid w:val="002711B5"/>
    <w:rsid w:val="00271408"/>
    <w:rsid w:val="00271C25"/>
    <w:rsid w:val="002723FE"/>
    <w:rsid w:val="002725B3"/>
    <w:rsid w:val="00272EE6"/>
    <w:rsid w:val="002739CB"/>
    <w:rsid w:val="002741B1"/>
    <w:rsid w:val="0027471D"/>
    <w:rsid w:val="00275381"/>
    <w:rsid w:val="002755C7"/>
    <w:rsid w:val="00275BB3"/>
    <w:rsid w:val="002760D2"/>
    <w:rsid w:val="0027626D"/>
    <w:rsid w:val="00276D99"/>
    <w:rsid w:val="00277753"/>
    <w:rsid w:val="00277986"/>
    <w:rsid w:val="00277BA3"/>
    <w:rsid w:val="00277D13"/>
    <w:rsid w:val="00277E6B"/>
    <w:rsid w:val="00280A7D"/>
    <w:rsid w:val="00280E74"/>
    <w:rsid w:val="0028117D"/>
    <w:rsid w:val="00282359"/>
    <w:rsid w:val="002839E3"/>
    <w:rsid w:val="00283B19"/>
    <w:rsid w:val="00283BD2"/>
    <w:rsid w:val="00283D12"/>
    <w:rsid w:val="00285815"/>
    <w:rsid w:val="00285A35"/>
    <w:rsid w:val="00286AB0"/>
    <w:rsid w:val="00286DD8"/>
    <w:rsid w:val="00287715"/>
    <w:rsid w:val="002900C5"/>
    <w:rsid w:val="002904DE"/>
    <w:rsid w:val="00290CDB"/>
    <w:rsid w:val="002911F1"/>
    <w:rsid w:val="00291707"/>
    <w:rsid w:val="00291C76"/>
    <w:rsid w:val="00291F6E"/>
    <w:rsid w:val="0029251E"/>
    <w:rsid w:val="00292550"/>
    <w:rsid w:val="00292AD5"/>
    <w:rsid w:val="00292BED"/>
    <w:rsid w:val="00292EC3"/>
    <w:rsid w:val="00292F2C"/>
    <w:rsid w:val="002934C0"/>
    <w:rsid w:val="00294465"/>
    <w:rsid w:val="00295801"/>
    <w:rsid w:val="00295B01"/>
    <w:rsid w:val="00295B20"/>
    <w:rsid w:val="00295C42"/>
    <w:rsid w:val="0029670A"/>
    <w:rsid w:val="00296A28"/>
    <w:rsid w:val="002977BD"/>
    <w:rsid w:val="002A0F80"/>
    <w:rsid w:val="002A1604"/>
    <w:rsid w:val="002A1AC8"/>
    <w:rsid w:val="002A1E54"/>
    <w:rsid w:val="002A27C4"/>
    <w:rsid w:val="002A3120"/>
    <w:rsid w:val="002A314E"/>
    <w:rsid w:val="002A347B"/>
    <w:rsid w:val="002A36F9"/>
    <w:rsid w:val="002A3749"/>
    <w:rsid w:val="002A3D5C"/>
    <w:rsid w:val="002A4271"/>
    <w:rsid w:val="002A4409"/>
    <w:rsid w:val="002A45B3"/>
    <w:rsid w:val="002A460D"/>
    <w:rsid w:val="002A4B3E"/>
    <w:rsid w:val="002A4C90"/>
    <w:rsid w:val="002A6083"/>
    <w:rsid w:val="002A664A"/>
    <w:rsid w:val="002A68F7"/>
    <w:rsid w:val="002A6BF6"/>
    <w:rsid w:val="002A7082"/>
    <w:rsid w:val="002A7106"/>
    <w:rsid w:val="002A71E2"/>
    <w:rsid w:val="002B0074"/>
    <w:rsid w:val="002B0E96"/>
    <w:rsid w:val="002B0F07"/>
    <w:rsid w:val="002B13DF"/>
    <w:rsid w:val="002B13F1"/>
    <w:rsid w:val="002B169C"/>
    <w:rsid w:val="002B171E"/>
    <w:rsid w:val="002B1FB6"/>
    <w:rsid w:val="002B2957"/>
    <w:rsid w:val="002B29D2"/>
    <w:rsid w:val="002B3228"/>
    <w:rsid w:val="002B323F"/>
    <w:rsid w:val="002B3362"/>
    <w:rsid w:val="002B36EF"/>
    <w:rsid w:val="002B4727"/>
    <w:rsid w:val="002B4ADC"/>
    <w:rsid w:val="002B4DC6"/>
    <w:rsid w:val="002B4F1C"/>
    <w:rsid w:val="002B5CD6"/>
    <w:rsid w:val="002B6015"/>
    <w:rsid w:val="002B642A"/>
    <w:rsid w:val="002B6D13"/>
    <w:rsid w:val="002B7CFC"/>
    <w:rsid w:val="002C0A93"/>
    <w:rsid w:val="002C0AB7"/>
    <w:rsid w:val="002C0DD8"/>
    <w:rsid w:val="002C1070"/>
    <w:rsid w:val="002C1410"/>
    <w:rsid w:val="002C16C9"/>
    <w:rsid w:val="002C191B"/>
    <w:rsid w:val="002C1CFD"/>
    <w:rsid w:val="002C26D7"/>
    <w:rsid w:val="002C26FB"/>
    <w:rsid w:val="002C27D9"/>
    <w:rsid w:val="002C2A2A"/>
    <w:rsid w:val="002C2B64"/>
    <w:rsid w:val="002C2B66"/>
    <w:rsid w:val="002C2F55"/>
    <w:rsid w:val="002C3712"/>
    <w:rsid w:val="002C3719"/>
    <w:rsid w:val="002C3854"/>
    <w:rsid w:val="002C3D96"/>
    <w:rsid w:val="002C40F2"/>
    <w:rsid w:val="002C4B24"/>
    <w:rsid w:val="002C54CF"/>
    <w:rsid w:val="002C552B"/>
    <w:rsid w:val="002C55CB"/>
    <w:rsid w:val="002C5A5D"/>
    <w:rsid w:val="002C5BBF"/>
    <w:rsid w:val="002C5DC5"/>
    <w:rsid w:val="002C69A3"/>
    <w:rsid w:val="002C6F60"/>
    <w:rsid w:val="002C7493"/>
    <w:rsid w:val="002C74D6"/>
    <w:rsid w:val="002C75E3"/>
    <w:rsid w:val="002D05F0"/>
    <w:rsid w:val="002D0A3C"/>
    <w:rsid w:val="002D0E37"/>
    <w:rsid w:val="002D101F"/>
    <w:rsid w:val="002D12D3"/>
    <w:rsid w:val="002D1AA1"/>
    <w:rsid w:val="002D1D65"/>
    <w:rsid w:val="002D230E"/>
    <w:rsid w:val="002D24BF"/>
    <w:rsid w:val="002D24C4"/>
    <w:rsid w:val="002D2528"/>
    <w:rsid w:val="002D2855"/>
    <w:rsid w:val="002D2952"/>
    <w:rsid w:val="002D32C9"/>
    <w:rsid w:val="002D3567"/>
    <w:rsid w:val="002D3C7C"/>
    <w:rsid w:val="002D4195"/>
    <w:rsid w:val="002D4712"/>
    <w:rsid w:val="002D49FC"/>
    <w:rsid w:val="002D4A59"/>
    <w:rsid w:val="002D5560"/>
    <w:rsid w:val="002D597D"/>
    <w:rsid w:val="002D5DE1"/>
    <w:rsid w:val="002D6208"/>
    <w:rsid w:val="002D6533"/>
    <w:rsid w:val="002D66F3"/>
    <w:rsid w:val="002D692E"/>
    <w:rsid w:val="002D6B4F"/>
    <w:rsid w:val="002D73BE"/>
    <w:rsid w:val="002D7E1F"/>
    <w:rsid w:val="002E03B6"/>
    <w:rsid w:val="002E03D9"/>
    <w:rsid w:val="002E10B4"/>
    <w:rsid w:val="002E1218"/>
    <w:rsid w:val="002E1280"/>
    <w:rsid w:val="002E16CE"/>
    <w:rsid w:val="002E1752"/>
    <w:rsid w:val="002E17A9"/>
    <w:rsid w:val="002E1FBE"/>
    <w:rsid w:val="002E2AE2"/>
    <w:rsid w:val="002E2B21"/>
    <w:rsid w:val="002E3891"/>
    <w:rsid w:val="002E38D1"/>
    <w:rsid w:val="002E3CA1"/>
    <w:rsid w:val="002E3FDD"/>
    <w:rsid w:val="002E4360"/>
    <w:rsid w:val="002E5515"/>
    <w:rsid w:val="002E555A"/>
    <w:rsid w:val="002E5C1B"/>
    <w:rsid w:val="002E629E"/>
    <w:rsid w:val="002E6407"/>
    <w:rsid w:val="002E64B0"/>
    <w:rsid w:val="002E6530"/>
    <w:rsid w:val="002E6984"/>
    <w:rsid w:val="002E6CFF"/>
    <w:rsid w:val="002E7027"/>
    <w:rsid w:val="002E7B2A"/>
    <w:rsid w:val="002E7DEB"/>
    <w:rsid w:val="002F012C"/>
    <w:rsid w:val="002F11DD"/>
    <w:rsid w:val="002F20FB"/>
    <w:rsid w:val="002F28CD"/>
    <w:rsid w:val="002F3385"/>
    <w:rsid w:val="002F38D9"/>
    <w:rsid w:val="002F39C6"/>
    <w:rsid w:val="002F4176"/>
    <w:rsid w:val="002F478B"/>
    <w:rsid w:val="002F4E05"/>
    <w:rsid w:val="002F561A"/>
    <w:rsid w:val="002F5DA7"/>
    <w:rsid w:val="002F6370"/>
    <w:rsid w:val="002F656B"/>
    <w:rsid w:val="002F685D"/>
    <w:rsid w:val="002F6A18"/>
    <w:rsid w:val="002F7011"/>
    <w:rsid w:val="002F7176"/>
    <w:rsid w:val="002F7222"/>
    <w:rsid w:val="002F7689"/>
    <w:rsid w:val="002F776B"/>
    <w:rsid w:val="002F7FE0"/>
    <w:rsid w:val="003000ED"/>
    <w:rsid w:val="00301015"/>
    <w:rsid w:val="003012E1"/>
    <w:rsid w:val="00301552"/>
    <w:rsid w:val="00301F13"/>
    <w:rsid w:val="00302070"/>
    <w:rsid w:val="00302268"/>
    <w:rsid w:val="00302565"/>
    <w:rsid w:val="00302853"/>
    <w:rsid w:val="00302C1A"/>
    <w:rsid w:val="00303A10"/>
    <w:rsid w:val="00303B40"/>
    <w:rsid w:val="00303BF5"/>
    <w:rsid w:val="00304BEE"/>
    <w:rsid w:val="00304CAE"/>
    <w:rsid w:val="00304EE7"/>
    <w:rsid w:val="00304F45"/>
    <w:rsid w:val="00305053"/>
    <w:rsid w:val="00305931"/>
    <w:rsid w:val="00305B14"/>
    <w:rsid w:val="003060FE"/>
    <w:rsid w:val="00306646"/>
    <w:rsid w:val="00306870"/>
    <w:rsid w:val="00306E29"/>
    <w:rsid w:val="003074D4"/>
    <w:rsid w:val="003075DA"/>
    <w:rsid w:val="00307BAF"/>
    <w:rsid w:val="00310370"/>
    <w:rsid w:val="003105B5"/>
    <w:rsid w:val="003106B7"/>
    <w:rsid w:val="003110D4"/>
    <w:rsid w:val="00311419"/>
    <w:rsid w:val="0031311D"/>
    <w:rsid w:val="00313633"/>
    <w:rsid w:val="003136EC"/>
    <w:rsid w:val="00313963"/>
    <w:rsid w:val="003139B6"/>
    <w:rsid w:val="00314899"/>
    <w:rsid w:val="00314A34"/>
    <w:rsid w:val="00314CD8"/>
    <w:rsid w:val="00314E1A"/>
    <w:rsid w:val="00314E1F"/>
    <w:rsid w:val="00314EE8"/>
    <w:rsid w:val="003151B1"/>
    <w:rsid w:val="00315386"/>
    <w:rsid w:val="0031564B"/>
    <w:rsid w:val="00315995"/>
    <w:rsid w:val="00315B30"/>
    <w:rsid w:val="00315E19"/>
    <w:rsid w:val="00315EDB"/>
    <w:rsid w:val="0031602E"/>
    <w:rsid w:val="003160B5"/>
    <w:rsid w:val="00316468"/>
    <w:rsid w:val="003167A5"/>
    <w:rsid w:val="00316CC1"/>
    <w:rsid w:val="00316E88"/>
    <w:rsid w:val="00316FD7"/>
    <w:rsid w:val="0031753A"/>
    <w:rsid w:val="003178A5"/>
    <w:rsid w:val="00317948"/>
    <w:rsid w:val="00317E54"/>
    <w:rsid w:val="00320C5A"/>
    <w:rsid w:val="0032111A"/>
    <w:rsid w:val="0032113A"/>
    <w:rsid w:val="003215DC"/>
    <w:rsid w:val="003216E2"/>
    <w:rsid w:val="0032197A"/>
    <w:rsid w:val="00321B1C"/>
    <w:rsid w:val="00321DCD"/>
    <w:rsid w:val="00321FBF"/>
    <w:rsid w:val="00322168"/>
    <w:rsid w:val="003222A4"/>
    <w:rsid w:val="003224DA"/>
    <w:rsid w:val="003224E8"/>
    <w:rsid w:val="00322504"/>
    <w:rsid w:val="0032258D"/>
    <w:rsid w:val="00322AD3"/>
    <w:rsid w:val="00322F9F"/>
    <w:rsid w:val="003232AD"/>
    <w:rsid w:val="0032373D"/>
    <w:rsid w:val="00323FE0"/>
    <w:rsid w:val="0032422B"/>
    <w:rsid w:val="00324A5E"/>
    <w:rsid w:val="00324B32"/>
    <w:rsid w:val="003250F7"/>
    <w:rsid w:val="003255EC"/>
    <w:rsid w:val="003259D5"/>
    <w:rsid w:val="00325C3B"/>
    <w:rsid w:val="00325EC9"/>
    <w:rsid w:val="00326030"/>
    <w:rsid w:val="0032606F"/>
    <w:rsid w:val="00326184"/>
    <w:rsid w:val="003261ED"/>
    <w:rsid w:val="00326523"/>
    <w:rsid w:val="0032684C"/>
    <w:rsid w:val="003268CE"/>
    <w:rsid w:val="0032716F"/>
    <w:rsid w:val="00327CAB"/>
    <w:rsid w:val="00330575"/>
    <w:rsid w:val="0033069A"/>
    <w:rsid w:val="00330772"/>
    <w:rsid w:val="00330C14"/>
    <w:rsid w:val="00330D9A"/>
    <w:rsid w:val="00330E7B"/>
    <w:rsid w:val="00330F1B"/>
    <w:rsid w:val="00330FDC"/>
    <w:rsid w:val="0033116A"/>
    <w:rsid w:val="003315B0"/>
    <w:rsid w:val="003318EC"/>
    <w:rsid w:val="00331D06"/>
    <w:rsid w:val="00331EED"/>
    <w:rsid w:val="003328E3"/>
    <w:rsid w:val="00332FCE"/>
    <w:rsid w:val="00333240"/>
    <w:rsid w:val="00333F46"/>
    <w:rsid w:val="003341D9"/>
    <w:rsid w:val="00334964"/>
    <w:rsid w:val="00334C7A"/>
    <w:rsid w:val="00335178"/>
    <w:rsid w:val="00335285"/>
    <w:rsid w:val="00335968"/>
    <w:rsid w:val="003362F0"/>
    <w:rsid w:val="00336890"/>
    <w:rsid w:val="00336963"/>
    <w:rsid w:val="00336FFD"/>
    <w:rsid w:val="00337007"/>
    <w:rsid w:val="003371E4"/>
    <w:rsid w:val="003375D4"/>
    <w:rsid w:val="00337C32"/>
    <w:rsid w:val="0034008C"/>
    <w:rsid w:val="0034037D"/>
    <w:rsid w:val="00340F2E"/>
    <w:rsid w:val="00341283"/>
    <w:rsid w:val="00341406"/>
    <w:rsid w:val="003419DC"/>
    <w:rsid w:val="003424D1"/>
    <w:rsid w:val="0034285F"/>
    <w:rsid w:val="00342BEB"/>
    <w:rsid w:val="0034321A"/>
    <w:rsid w:val="00343641"/>
    <w:rsid w:val="0034383D"/>
    <w:rsid w:val="00343BE1"/>
    <w:rsid w:val="00343F49"/>
    <w:rsid w:val="003440F2"/>
    <w:rsid w:val="00344227"/>
    <w:rsid w:val="00344484"/>
    <w:rsid w:val="00344E7D"/>
    <w:rsid w:val="00345234"/>
    <w:rsid w:val="003457B2"/>
    <w:rsid w:val="003457FA"/>
    <w:rsid w:val="00345BE0"/>
    <w:rsid w:val="003464E0"/>
    <w:rsid w:val="0034695C"/>
    <w:rsid w:val="00347897"/>
    <w:rsid w:val="00347979"/>
    <w:rsid w:val="00350141"/>
    <w:rsid w:val="00350578"/>
    <w:rsid w:val="00350D05"/>
    <w:rsid w:val="00350D25"/>
    <w:rsid w:val="0035121C"/>
    <w:rsid w:val="00351225"/>
    <w:rsid w:val="00352128"/>
    <w:rsid w:val="003523B9"/>
    <w:rsid w:val="00353BF3"/>
    <w:rsid w:val="00354178"/>
    <w:rsid w:val="0035421B"/>
    <w:rsid w:val="00354A7D"/>
    <w:rsid w:val="00354E36"/>
    <w:rsid w:val="00355760"/>
    <w:rsid w:val="00355D11"/>
    <w:rsid w:val="003561D4"/>
    <w:rsid w:val="003566FE"/>
    <w:rsid w:val="0035693D"/>
    <w:rsid w:val="00356C86"/>
    <w:rsid w:val="00356CE0"/>
    <w:rsid w:val="00357A69"/>
    <w:rsid w:val="00360432"/>
    <w:rsid w:val="003604F5"/>
    <w:rsid w:val="00360891"/>
    <w:rsid w:val="00361280"/>
    <w:rsid w:val="003613F2"/>
    <w:rsid w:val="003614AC"/>
    <w:rsid w:val="00361574"/>
    <w:rsid w:val="00361A01"/>
    <w:rsid w:val="00361BC2"/>
    <w:rsid w:val="003625F4"/>
    <w:rsid w:val="00362ED9"/>
    <w:rsid w:val="0036380A"/>
    <w:rsid w:val="00363ADF"/>
    <w:rsid w:val="00363BB1"/>
    <w:rsid w:val="003641B3"/>
    <w:rsid w:val="00364490"/>
    <w:rsid w:val="00364BF9"/>
    <w:rsid w:val="00364D52"/>
    <w:rsid w:val="00364FD5"/>
    <w:rsid w:val="003659C7"/>
    <w:rsid w:val="00365D3D"/>
    <w:rsid w:val="00365EF6"/>
    <w:rsid w:val="0036610A"/>
    <w:rsid w:val="00366FFF"/>
    <w:rsid w:val="00367044"/>
    <w:rsid w:val="0036712D"/>
    <w:rsid w:val="003672A4"/>
    <w:rsid w:val="00367424"/>
    <w:rsid w:val="003675A7"/>
    <w:rsid w:val="003676D4"/>
    <w:rsid w:val="0036776B"/>
    <w:rsid w:val="00367BC6"/>
    <w:rsid w:val="00370085"/>
    <w:rsid w:val="0037023C"/>
    <w:rsid w:val="00370551"/>
    <w:rsid w:val="0037057B"/>
    <w:rsid w:val="00370ABB"/>
    <w:rsid w:val="00370FAD"/>
    <w:rsid w:val="00371914"/>
    <w:rsid w:val="00371955"/>
    <w:rsid w:val="00372053"/>
    <w:rsid w:val="003722AB"/>
    <w:rsid w:val="0037240A"/>
    <w:rsid w:val="0037296B"/>
    <w:rsid w:val="00372E7D"/>
    <w:rsid w:val="00372F6E"/>
    <w:rsid w:val="003730AF"/>
    <w:rsid w:val="0037376D"/>
    <w:rsid w:val="0037386C"/>
    <w:rsid w:val="0037395F"/>
    <w:rsid w:val="00373E58"/>
    <w:rsid w:val="00374058"/>
    <w:rsid w:val="0037411E"/>
    <w:rsid w:val="00374BFF"/>
    <w:rsid w:val="00374CD2"/>
    <w:rsid w:val="00374EB1"/>
    <w:rsid w:val="00374EBC"/>
    <w:rsid w:val="00375B8E"/>
    <w:rsid w:val="003764AE"/>
    <w:rsid w:val="0037657B"/>
    <w:rsid w:val="003766E8"/>
    <w:rsid w:val="00376AFA"/>
    <w:rsid w:val="0037787C"/>
    <w:rsid w:val="00377CAF"/>
    <w:rsid w:val="003800AD"/>
    <w:rsid w:val="00380209"/>
    <w:rsid w:val="003802B2"/>
    <w:rsid w:val="00380B28"/>
    <w:rsid w:val="00380E1E"/>
    <w:rsid w:val="0038174E"/>
    <w:rsid w:val="00381A5E"/>
    <w:rsid w:val="00381C5B"/>
    <w:rsid w:val="00381C5E"/>
    <w:rsid w:val="00381FEE"/>
    <w:rsid w:val="0038229D"/>
    <w:rsid w:val="00382363"/>
    <w:rsid w:val="00382500"/>
    <w:rsid w:val="0038341E"/>
    <w:rsid w:val="00383EF5"/>
    <w:rsid w:val="00384641"/>
    <w:rsid w:val="003849EA"/>
    <w:rsid w:val="00385404"/>
    <w:rsid w:val="003855D0"/>
    <w:rsid w:val="00385A08"/>
    <w:rsid w:val="00386370"/>
    <w:rsid w:val="003867DF"/>
    <w:rsid w:val="003868EF"/>
    <w:rsid w:val="00387457"/>
    <w:rsid w:val="00387779"/>
    <w:rsid w:val="00387996"/>
    <w:rsid w:val="00387C6A"/>
    <w:rsid w:val="003904DD"/>
    <w:rsid w:val="00390C1F"/>
    <w:rsid w:val="00390CB5"/>
    <w:rsid w:val="00391586"/>
    <w:rsid w:val="00391818"/>
    <w:rsid w:val="0039182D"/>
    <w:rsid w:val="003926D3"/>
    <w:rsid w:val="00392F36"/>
    <w:rsid w:val="0039343F"/>
    <w:rsid w:val="00393738"/>
    <w:rsid w:val="003937E8"/>
    <w:rsid w:val="00393D96"/>
    <w:rsid w:val="00393F1C"/>
    <w:rsid w:val="00394564"/>
    <w:rsid w:val="0039478D"/>
    <w:rsid w:val="00394AC0"/>
    <w:rsid w:val="00394FB3"/>
    <w:rsid w:val="0039522C"/>
    <w:rsid w:val="00395DC8"/>
    <w:rsid w:val="00395E97"/>
    <w:rsid w:val="003960F7"/>
    <w:rsid w:val="0039652C"/>
    <w:rsid w:val="00396811"/>
    <w:rsid w:val="00396872"/>
    <w:rsid w:val="00396A9A"/>
    <w:rsid w:val="00396E30"/>
    <w:rsid w:val="00396E78"/>
    <w:rsid w:val="00396EF2"/>
    <w:rsid w:val="0039728D"/>
    <w:rsid w:val="00397A04"/>
    <w:rsid w:val="00397BED"/>
    <w:rsid w:val="00397CCE"/>
    <w:rsid w:val="003A0112"/>
    <w:rsid w:val="003A042A"/>
    <w:rsid w:val="003A0688"/>
    <w:rsid w:val="003A0B5C"/>
    <w:rsid w:val="003A0C6B"/>
    <w:rsid w:val="003A0D66"/>
    <w:rsid w:val="003A18AA"/>
    <w:rsid w:val="003A1982"/>
    <w:rsid w:val="003A251E"/>
    <w:rsid w:val="003A26B2"/>
    <w:rsid w:val="003A26EA"/>
    <w:rsid w:val="003A2737"/>
    <w:rsid w:val="003A3D9E"/>
    <w:rsid w:val="003A3E70"/>
    <w:rsid w:val="003A3FC6"/>
    <w:rsid w:val="003A434A"/>
    <w:rsid w:val="003A4A2F"/>
    <w:rsid w:val="003A4FB0"/>
    <w:rsid w:val="003A5220"/>
    <w:rsid w:val="003A563B"/>
    <w:rsid w:val="003A5AEA"/>
    <w:rsid w:val="003A6014"/>
    <w:rsid w:val="003A63B8"/>
    <w:rsid w:val="003A6B5C"/>
    <w:rsid w:val="003A6C26"/>
    <w:rsid w:val="003A72CF"/>
    <w:rsid w:val="003A76C5"/>
    <w:rsid w:val="003A7763"/>
    <w:rsid w:val="003A7C31"/>
    <w:rsid w:val="003A7CFC"/>
    <w:rsid w:val="003B0411"/>
    <w:rsid w:val="003B107A"/>
    <w:rsid w:val="003B10C7"/>
    <w:rsid w:val="003B1895"/>
    <w:rsid w:val="003B2094"/>
    <w:rsid w:val="003B21C2"/>
    <w:rsid w:val="003B254A"/>
    <w:rsid w:val="003B29A6"/>
    <w:rsid w:val="003B2C14"/>
    <w:rsid w:val="003B307D"/>
    <w:rsid w:val="003B409C"/>
    <w:rsid w:val="003B453A"/>
    <w:rsid w:val="003B4CE1"/>
    <w:rsid w:val="003B5831"/>
    <w:rsid w:val="003B5F80"/>
    <w:rsid w:val="003B5FEC"/>
    <w:rsid w:val="003B65B7"/>
    <w:rsid w:val="003B70BD"/>
    <w:rsid w:val="003B75B8"/>
    <w:rsid w:val="003C0079"/>
    <w:rsid w:val="003C06B9"/>
    <w:rsid w:val="003C0873"/>
    <w:rsid w:val="003C173E"/>
    <w:rsid w:val="003C1B67"/>
    <w:rsid w:val="003C1F21"/>
    <w:rsid w:val="003C23BB"/>
    <w:rsid w:val="003C3696"/>
    <w:rsid w:val="003C3C7C"/>
    <w:rsid w:val="003C3F49"/>
    <w:rsid w:val="003C41BA"/>
    <w:rsid w:val="003C47F2"/>
    <w:rsid w:val="003C5171"/>
    <w:rsid w:val="003C58BE"/>
    <w:rsid w:val="003C5BDF"/>
    <w:rsid w:val="003C5BEF"/>
    <w:rsid w:val="003C6111"/>
    <w:rsid w:val="003C6487"/>
    <w:rsid w:val="003C6C7E"/>
    <w:rsid w:val="003C6C96"/>
    <w:rsid w:val="003C6FFA"/>
    <w:rsid w:val="003C703B"/>
    <w:rsid w:val="003C734B"/>
    <w:rsid w:val="003C7487"/>
    <w:rsid w:val="003C74D2"/>
    <w:rsid w:val="003C758C"/>
    <w:rsid w:val="003C7EC5"/>
    <w:rsid w:val="003D00E7"/>
    <w:rsid w:val="003D06DE"/>
    <w:rsid w:val="003D0728"/>
    <w:rsid w:val="003D0DDF"/>
    <w:rsid w:val="003D10FC"/>
    <w:rsid w:val="003D1332"/>
    <w:rsid w:val="003D142B"/>
    <w:rsid w:val="003D173B"/>
    <w:rsid w:val="003D2142"/>
    <w:rsid w:val="003D292F"/>
    <w:rsid w:val="003D2DA5"/>
    <w:rsid w:val="003D2FB1"/>
    <w:rsid w:val="003D3044"/>
    <w:rsid w:val="003D34E3"/>
    <w:rsid w:val="003D3BD2"/>
    <w:rsid w:val="003D3C16"/>
    <w:rsid w:val="003D4368"/>
    <w:rsid w:val="003D455F"/>
    <w:rsid w:val="003D4EC5"/>
    <w:rsid w:val="003D52E7"/>
    <w:rsid w:val="003D5618"/>
    <w:rsid w:val="003D570F"/>
    <w:rsid w:val="003D5CD7"/>
    <w:rsid w:val="003D5DD9"/>
    <w:rsid w:val="003D5F05"/>
    <w:rsid w:val="003D610A"/>
    <w:rsid w:val="003D65C1"/>
    <w:rsid w:val="003D66B2"/>
    <w:rsid w:val="003D6716"/>
    <w:rsid w:val="003D6BE8"/>
    <w:rsid w:val="003D7169"/>
    <w:rsid w:val="003D7259"/>
    <w:rsid w:val="003D770F"/>
    <w:rsid w:val="003D7AB8"/>
    <w:rsid w:val="003D7B79"/>
    <w:rsid w:val="003D7C98"/>
    <w:rsid w:val="003E0184"/>
    <w:rsid w:val="003E0549"/>
    <w:rsid w:val="003E06CD"/>
    <w:rsid w:val="003E0834"/>
    <w:rsid w:val="003E0934"/>
    <w:rsid w:val="003E0CE5"/>
    <w:rsid w:val="003E11C1"/>
    <w:rsid w:val="003E1258"/>
    <w:rsid w:val="003E12DB"/>
    <w:rsid w:val="003E1AB5"/>
    <w:rsid w:val="003E1C5D"/>
    <w:rsid w:val="003E1CEF"/>
    <w:rsid w:val="003E2055"/>
    <w:rsid w:val="003E282F"/>
    <w:rsid w:val="003E3AB3"/>
    <w:rsid w:val="003E3E02"/>
    <w:rsid w:val="003E3E21"/>
    <w:rsid w:val="003E4042"/>
    <w:rsid w:val="003E439F"/>
    <w:rsid w:val="003E44D5"/>
    <w:rsid w:val="003E465B"/>
    <w:rsid w:val="003E48A9"/>
    <w:rsid w:val="003E492D"/>
    <w:rsid w:val="003E4DE8"/>
    <w:rsid w:val="003E4E1E"/>
    <w:rsid w:val="003E52F3"/>
    <w:rsid w:val="003E5463"/>
    <w:rsid w:val="003E63AB"/>
    <w:rsid w:val="003E6B68"/>
    <w:rsid w:val="003E7251"/>
    <w:rsid w:val="003E7321"/>
    <w:rsid w:val="003E798E"/>
    <w:rsid w:val="003F0204"/>
    <w:rsid w:val="003F07F1"/>
    <w:rsid w:val="003F0BD5"/>
    <w:rsid w:val="003F0D51"/>
    <w:rsid w:val="003F0D97"/>
    <w:rsid w:val="003F1627"/>
    <w:rsid w:val="003F16E8"/>
    <w:rsid w:val="003F1A34"/>
    <w:rsid w:val="003F3122"/>
    <w:rsid w:val="003F354F"/>
    <w:rsid w:val="003F3AE0"/>
    <w:rsid w:val="003F3EDB"/>
    <w:rsid w:val="003F3F77"/>
    <w:rsid w:val="003F4653"/>
    <w:rsid w:val="003F4829"/>
    <w:rsid w:val="003F4DFB"/>
    <w:rsid w:val="003F51D3"/>
    <w:rsid w:val="003F59EC"/>
    <w:rsid w:val="003F5B10"/>
    <w:rsid w:val="003F5C09"/>
    <w:rsid w:val="003F5D1C"/>
    <w:rsid w:val="003F6018"/>
    <w:rsid w:val="003F6044"/>
    <w:rsid w:val="003F6A16"/>
    <w:rsid w:val="003F6AA6"/>
    <w:rsid w:val="003F71A7"/>
    <w:rsid w:val="003F7287"/>
    <w:rsid w:val="003F7C47"/>
    <w:rsid w:val="003F7D65"/>
    <w:rsid w:val="00400864"/>
    <w:rsid w:val="00400F57"/>
    <w:rsid w:val="004012E2"/>
    <w:rsid w:val="0040134C"/>
    <w:rsid w:val="004019E8"/>
    <w:rsid w:val="00401D48"/>
    <w:rsid w:val="00401E77"/>
    <w:rsid w:val="00401F16"/>
    <w:rsid w:val="0040265C"/>
    <w:rsid w:val="00402716"/>
    <w:rsid w:val="00402D61"/>
    <w:rsid w:val="00403166"/>
    <w:rsid w:val="004038D2"/>
    <w:rsid w:val="00403933"/>
    <w:rsid w:val="00403E03"/>
    <w:rsid w:val="0040420D"/>
    <w:rsid w:val="0040471B"/>
    <w:rsid w:val="00404934"/>
    <w:rsid w:val="00404C19"/>
    <w:rsid w:val="0040510B"/>
    <w:rsid w:val="00405437"/>
    <w:rsid w:val="00405510"/>
    <w:rsid w:val="004059F6"/>
    <w:rsid w:val="004061A7"/>
    <w:rsid w:val="004065A5"/>
    <w:rsid w:val="00406732"/>
    <w:rsid w:val="00406735"/>
    <w:rsid w:val="004068EE"/>
    <w:rsid w:val="0040699A"/>
    <w:rsid w:val="00407EA4"/>
    <w:rsid w:val="00410103"/>
    <w:rsid w:val="004108AC"/>
    <w:rsid w:val="00410EE0"/>
    <w:rsid w:val="004110DE"/>
    <w:rsid w:val="004111D0"/>
    <w:rsid w:val="004112A6"/>
    <w:rsid w:val="00411667"/>
    <w:rsid w:val="004117BD"/>
    <w:rsid w:val="00411A84"/>
    <w:rsid w:val="00411BB8"/>
    <w:rsid w:val="004122E3"/>
    <w:rsid w:val="00412479"/>
    <w:rsid w:val="0041297E"/>
    <w:rsid w:val="00413520"/>
    <w:rsid w:val="0041394C"/>
    <w:rsid w:val="00413AB9"/>
    <w:rsid w:val="00413CD9"/>
    <w:rsid w:val="00413F65"/>
    <w:rsid w:val="0041416D"/>
    <w:rsid w:val="00414218"/>
    <w:rsid w:val="004142C2"/>
    <w:rsid w:val="004149E0"/>
    <w:rsid w:val="00414F07"/>
    <w:rsid w:val="00415398"/>
    <w:rsid w:val="0041556E"/>
    <w:rsid w:val="0041575A"/>
    <w:rsid w:val="00415AF0"/>
    <w:rsid w:val="00415CF0"/>
    <w:rsid w:val="00415D86"/>
    <w:rsid w:val="00415E50"/>
    <w:rsid w:val="00416639"/>
    <w:rsid w:val="004171D8"/>
    <w:rsid w:val="004171E6"/>
    <w:rsid w:val="0041727A"/>
    <w:rsid w:val="004173CD"/>
    <w:rsid w:val="004179DD"/>
    <w:rsid w:val="00420166"/>
    <w:rsid w:val="004202A4"/>
    <w:rsid w:val="00420BD9"/>
    <w:rsid w:val="00420E60"/>
    <w:rsid w:val="0042107B"/>
    <w:rsid w:val="0042129D"/>
    <w:rsid w:val="00421300"/>
    <w:rsid w:val="0042190A"/>
    <w:rsid w:val="00421D06"/>
    <w:rsid w:val="004221C3"/>
    <w:rsid w:val="00422216"/>
    <w:rsid w:val="004224C8"/>
    <w:rsid w:val="00422705"/>
    <w:rsid w:val="00422825"/>
    <w:rsid w:val="00422B7F"/>
    <w:rsid w:val="00423C4C"/>
    <w:rsid w:val="00423E01"/>
    <w:rsid w:val="00423EB1"/>
    <w:rsid w:val="00424121"/>
    <w:rsid w:val="00424206"/>
    <w:rsid w:val="00424701"/>
    <w:rsid w:val="004247E0"/>
    <w:rsid w:val="004248F0"/>
    <w:rsid w:val="00424CE3"/>
    <w:rsid w:val="00424D23"/>
    <w:rsid w:val="004251B7"/>
    <w:rsid w:val="0042593C"/>
    <w:rsid w:val="0042595E"/>
    <w:rsid w:val="00426350"/>
    <w:rsid w:val="004263F2"/>
    <w:rsid w:val="0042677C"/>
    <w:rsid w:val="00426B7A"/>
    <w:rsid w:val="00426BF4"/>
    <w:rsid w:val="004279C4"/>
    <w:rsid w:val="00430AE4"/>
    <w:rsid w:val="00430C47"/>
    <w:rsid w:val="00430FCA"/>
    <w:rsid w:val="00431F44"/>
    <w:rsid w:val="00433254"/>
    <w:rsid w:val="004335CD"/>
    <w:rsid w:val="00434303"/>
    <w:rsid w:val="004348D2"/>
    <w:rsid w:val="00435160"/>
    <w:rsid w:val="00435C3E"/>
    <w:rsid w:val="00436155"/>
    <w:rsid w:val="0043651F"/>
    <w:rsid w:val="00436594"/>
    <w:rsid w:val="0043693F"/>
    <w:rsid w:val="00436B2A"/>
    <w:rsid w:val="00437457"/>
    <w:rsid w:val="00437549"/>
    <w:rsid w:val="00437A06"/>
    <w:rsid w:val="0044038A"/>
    <w:rsid w:val="00441354"/>
    <w:rsid w:val="004413DC"/>
    <w:rsid w:val="0044154D"/>
    <w:rsid w:val="00442060"/>
    <w:rsid w:val="00442439"/>
    <w:rsid w:val="00442B64"/>
    <w:rsid w:val="00442DFA"/>
    <w:rsid w:val="004431CE"/>
    <w:rsid w:val="004434B5"/>
    <w:rsid w:val="0044445B"/>
    <w:rsid w:val="004445A4"/>
    <w:rsid w:val="00444A2E"/>
    <w:rsid w:val="00444C63"/>
    <w:rsid w:val="00444C78"/>
    <w:rsid w:val="00444C91"/>
    <w:rsid w:val="00445276"/>
    <w:rsid w:val="004452D8"/>
    <w:rsid w:val="00445383"/>
    <w:rsid w:val="00445914"/>
    <w:rsid w:val="00445C21"/>
    <w:rsid w:val="00446258"/>
    <w:rsid w:val="004462FE"/>
    <w:rsid w:val="00446743"/>
    <w:rsid w:val="00446E0A"/>
    <w:rsid w:val="00447A2C"/>
    <w:rsid w:val="00447AD5"/>
    <w:rsid w:val="00447EF8"/>
    <w:rsid w:val="004502AE"/>
    <w:rsid w:val="00450668"/>
    <w:rsid w:val="00450755"/>
    <w:rsid w:val="0045085C"/>
    <w:rsid w:val="004508AE"/>
    <w:rsid w:val="004508B0"/>
    <w:rsid w:val="00450A96"/>
    <w:rsid w:val="00450FC9"/>
    <w:rsid w:val="00451C3D"/>
    <w:rsid w:val="00451C99"/>
    <w:rsid w:val="0045225F"/>
    <w:rsid w:val="00452832"/>
    <w:rsid w:val="00452885"/>
    <w:rsid w:val="00452C7C"/>
    <w:rsid w:val="00452D4D"/>
    <w:rsid w:val="00453663"/>
    <w:rsid w:val="00453758"/>
    <w:rsid w:val="004537C1"/>
    <w:rsid w:val="00453F10"/>
    <w:rsid w:val="0045414E"/>
    <w:rsid w:val="004549FE"/>
    <w:rsid w:val="00454CE6"/>
    <w:rsid w:val="00454E84"/>
    <w:rsid w:val="00455EE4"/>
    <w:rsid w:val="0045669B"/>
    <w:rsid w:val="00456A4E"/>
    <w:rsid w:val="00456F51"/>
    <w:rsid w:val="00456F5D"/>
    <w:rsid w:val="0045786D"/>
    <w:rsid w:val="00457EAF"/>
    <w:rsid w:val="004604BF"/>
    <w:rsid w:val="00460655"/>
    <w:rsid w:val="004608ED"/>
    <w:rsid w:val="00460903"/>
    <w:rsid w:val="00460ACE"/>
    <w:rsid w:val="004618F1"/>
    <w:rsid w:val="00461DB2"/>
    <w:rsid w:val="00461EB4"/>
    <w:rsid w:val="00462865"/>
    <w:rsid w:val="004632BC"/>
    <w:rsid w:val="004635F1"/>
    <w:rsid w:val="00463FBC"/>
    <w:rsid w:val="004642F3"/>
    <w:rsid w:val="004645C0"/>
    <w:rsid w:val="0046467B"/>
    <w:rsid w:val="0046492C"/>
    <w:rsid w:val="0046501E"/>
    <w:rsid w:val="004654A7"/>
    <w:rsid w:val="004656F9"/>
    <w:rsid w:val="00465C64"/>
    <w:rsid w:val="00465F80"/>
    <w:rsid w:val="00466630"/>
    <w:rsid w:val="00466699"/>
    <w:rsid w:val="004677F8"/>
    <w:rsid w:val="00467BA9"/>
    <w:rsid w:val="00467C73"/>
    <w:rsid w:val="004702FB"/>
    <w:rsid w:val="00470496"/>
    <w:rsid w:val="00470A38"/>
    <w:rsid w:val="00470BC7"/>
    <w:rsid w:val="00470D11"/>
    <w:rsid w:val="00471D9D"/>
    <w:rsid w:val="00471E0C"/>
    <w:rsid w:val="0047216F"/>
    <w:rsid w:val="004723B3"/>
    <w:rsid w:val="004723B7"/>
    <w:rsid w:val="004728AF"/>
    <w:rsid w:val="00472AAC"/>
    <w:rsid w:val="00472E39"/>
    <w:rsid w:val="00472EDC"/>
    <w:rsid w:val="004737F2"/>
    <w:rsid w:val="004739E3"/>
    <w:rsid w:val="00474831"/>
    <w:rsid w:val="004749D1"/>
    <w:rsid w:val="0047536F"/>
    <w:rsid w:val="00475BB7"/>
    <w:rsid w:val="00475C60"/>
    <w:rsid w:val="0047647B"/>
    <w:rsid w:val="0047676E"/>
    <w:rsid w:val="00476794"/>
    <w:rsid w:val="00476979"/>
    <w:rsid w:val="00476BC6"/>
    <w:rsid w:val="00476D87"/>
    <w:rsid w:val="00477388"/>
    <w:rsid w:val="00477B33"/>
    <w:rsid w:val="00477DD2"/>
    <w:rsid w:val="00480355"/>
    <w:rsid w:val="00480601"/>
    <w:rsid w:val="00480902"/>
    <w:rsid w:val="00480EA7"/>
    <w:rsid w:val="00481987"/>
    <w:rsid w:val="00481DA6"/>
    <w:rsid w:val="00481F3A"/>
    <w:rsid w:val="004822B7"/>
    <w:rsid w:val="004829CB"/>
    <w:rsid w:val="0048333D"/>
    <w:rsid w:val="00483CC1"/>
    <w:rsid w:val="004842C8"/>
    <w:rsid w:val="004843DD"/>
    <w:rsid w:val="00484439"/>
    <w:rsid w:val="0048459C"/>
    <w:rsid w:val="004848AA"/>
    <w:rsid w:val="004849B8"/>
    <w:rsid w:val="00484BFF"/>
    <w:rsid w:val="004852F3"/>
    <w:rsid w:val="00485AE6"/>
    <w:rsid w:val="00485D19"/>
    <w:rsid w:val="00485D6F"/>
    <w:rsid w:val="00486854"/>
    <w:rsid w:val="00486DD2"/>
    <w:rsid w:val="00486DD6"/>
    <w:rsid w:val="0048717A"/>
    <w:rsid w:val="004872C8"/>
    <w:rsid w:val="00490315"/>
    <w:rsid w:val="004906B4"/>
    <w:rsid w:val="00490703"/>
    <w:rsid w:val="00490BB2"/>
    <w:rsid w:val="00490DED"/>
    <w:rsid w:val="0049108B"/>
    <w:rsid w:val="00491144"/>
    <w:rsid w:val="004916B7"/>
    <w:rsid w:val="00491716"/>
    <w:rsid w:val="004917BA"/>
    <w:rsid w:val="00491FF5"/>
    <w:rsid w:val="004927E0"/>
    <w:rsid w:val="00492E59"/>
    <w:rsid w:val="00493516"/>
    <w:rsid w:val="0049364B"/>
    <w:rsid w:val="004936A6"/>
    <w:rsid w:val="004937C3"/>
    <w:rsid w:val="00494323"/>
    <w:rsid w:val="004943D9"/>
    <w:rsid w:val="00494DF6"/>
    <w:rsid w:val="00494EDD"/>
    <w:rsid w:val="00495522"/>
    <w:rsid w:val="004958CC"/>
    <w:rsid w:val="0049595E"/>
    <w:rsid w:val="00495A69"/>
    <w:rsid w:val="00495D09"/>
    <w:rsid w:val="00495DA6"/>
    <w:rsid w:val="00496101"/>
    <w:rsid w:val="004961D1"/>
    <w:rsid w:val="0049679F"/>
    <w:rsid w:val="0049710F"/>
    <w:rsid w:val="0049773F"/>
    <w:rsid w:val="004978FA"/>
    <w:rsid w:val="00497913"/>
    <w:rsid w:val="00497CAE"/>
    <w:rsid w:val="004A0ECC"/>
    <w:rsid w:val="004A0F30"/>
    <w:rsid w:val="004A108E"/>
    <w:rsid w:val="004A1301"/>
    <w:rsid w:val="004A1793"/>
    <w:rsid w:val="004A1B17"/>
    <w:rsid w:val="004A2C89"/>
    <w:rsid w:val="004A322E"/>
    <w:rsid w:val="004A365B"/>
    <w:rsid w:val="004A3840"/>
    <w:rsid w:val="004A4294"/>
    <w:rsid w:val="004A4544"/>
    <w:rsid w:val="004A4A1A"/>
    <w:rsid w:val="004A56E6"/>
    <w:rsid w:val="004A580F"/>
    <w:rsid w:val="004A58FA"/>
    <w:rsid w:val="004A5B8E"/>
    <w:rsid w:val="004A5F93"/>
    <w:rsid w:val="004A611B"/>
    <w:rsid w:val="004A6224"/>
    <w:rsid w:val="004A655A"/>
    <w:rsid w:val="004A6562"/>
    <w:rsid w:val="004A6C32"/>
    <w:rsid w:val="004A7560"/>
    <w:rsid w:val="004A7658"/>
    <w:rsid w:val="004A791F"/>
    <w:rsid w:val="004B0B61"/>
    <w:rsid w:val="004B10DD"/>
    <w:rsid w:val="004B1381"/>
    <w:rsid w:val="004B153C"/>
    <w:rsid w:val="004B1854"/>
    <w:rsid w:val="004B1EB0"/>
    <w:rsid w:val="004B278F"/>
    <w:rsid w:val="004B2CC9"/>
    <w:rsid w:val="004B2E07"/>
    <w:rsid w:val="004B3212"/>
    <w:rsid w:val="004B332D"/>
    <w:rsid w:val="004B3644"/>
    <w:rsid w:val="004B36AE"/>
    <w:rsid w:val="004B39E9"/>
    <w:rsid w:val="004B3DF3"/>
    <w:rsid w:val="004B3F2A"/>
    <w:rsid w:val="004B431D"/>
    <w:rsid w:val="004B483C"/>
    <w:rsid w:val="004B4DDC"/>
    <w:rsid w:val="004B5872"/>
    <w:rsid w:val="004B6310"/>
    <w:rsid w:val="004B65A8"/>
    <w:rsid w:val="004B6650"/>
    <w:rsid w:val="004B6755"/>
    <w:rsid w:val="004B6A0D"/>
    <w:rsid w:val="004B6D31"/>
    <w:rsid w:val="004B71C7"/>
    <w:rsid w:val="004B7B52"/>
    <w:rsid w:val="004B7C14"/>
    <w:rsid w:val="004C036B"/>
    <w:rsid w:val="004C042F"/>
    <w:rsid w:val="004C04E1"/>
    <w:rsid w:val="004C0684"/>
    <w:rsid w:val="004C0839"/>
    <w:rsid w:val="004C0A72"/>
    <w:rsid w:val="004C0EA9"/>
    <w:rsid w:val="004C127C"/>
    <w:rsid w:val="004C1675"/>
    <w:rsid w:val="004C1B3A"/>
    <w:rsid w:val="004C2242"/>
    <w:rsid w:val="004C3CBA"/>
    <w:rsid w:val="004C3EB2"/>
    <w:rsid w:val="004C4399"/>
    <w:rsid w:val="004C52D4"/>
    <w:rsid w:val="004C53F6"/>
    <w:rsid w:val="004C5C84"/>
    <w:rsid w:val="004C61CF"/>
    <w:rsid w:val="004C6414"/>
    <w:rsid w:val="004C6B7F"/>
    <w:rsid w:val="004C6EBD"/>
    <w:rsid w:val="004C6F22"/>
    <w:rsid w:val="004C7062"/>
    <w:rsid w:val="004C742F"/>
    <w:rsid w:val="004C78FE"/>
    <w:rsid w:val="004C7CFF"/>
    <w:rsid w:val="004D0133"/>
    <w:rsid w:val="004D1259"/>
    <w:rsid w:val="004D1299"/>
    <w:rsid w:val="004D1CA2"/>
    <w:rsid w:val="004D1E6F"/>
    <w:rsid w:val="004D1FBD"/>
    <w:rsid w:val="004D22CA"/>
    <w:rsid w:val="004D24F1"/>
    <w:rsid w:val="004D2AFC"/>
    <w:rsid w:val="004D2B09"/>
    <w:rsid w:val="004D2DA1"/>
    <w:rsid w:val="004D31A3"/>
    <w:rsid w:val="004D3585"/>
    <w:rsid w:val="004D3DB9"/>
    <w:rsid w:val="004D4DB8"/>
    <w:rsid w:val="004D5032"/>
    <w:rsid w:val="004D5AA1"/>
    <w:rsid w:val="004D6881"/>
    <w:rsid w:val="004D698D"/>
    <w:rsid w:val="004D6D76"/>
    <w:rsid w:val="004D7072"/>
    <w:rsid w:val="004D708F"/>
    <w:rsid w:val="004D7CAF"/>
    <w:rsid w:val="004E0109"/>
    <w:rsid w:val="004E02F3"/>
    <w:rsid w:val="004E06DC"/>
    <w:rsid w:val="004E06E4"/>
    <w:rsid w:val="004E1248"/>
    <w:rsid w:val="004E1391"/>
    <w:rsid w:val="004E13D6"/>
    <w:rsid w:val="004E1B9D"/>
    <w:rsid w:val="004E23CC"/>
    <w:rsid w:val="004E2981"/>
    <w:rsid w:val="004E2B94"/>
    <w:rsid w:val="004E3276"/>
    <w:rsid w:val="004E332A"/>
    <w:rsid w:val="004E412D"/>
    <w:rsid w:val="004E463F"/>
    <w:rsid w:val="004E46B7"/>
    <w:rsid w:val="004E51C3"/>
    <w:rsid w:val="004E58A3"/>
    <w:rsid w:val="004E5B70"/>
    <w:rsid w:val="004E5BCE"/>
    <w:rsid w:val="004E63BC"/>
    <w:rsid w:val="004E67E3"/>
    <w:rsid w:val="004E6D32"/>
    <w:rsid w:val="004E6F15"/>
    <w:rsid w:val="004E6FA0"/>
    <w:rsid w:val="004E7F1A"/>
    <w:rsid w:val="004E7F74"/>
    <w:rsid w:val="004F068C"/>
    <w:rsid w:val="004F0F09"/>
    <w:rsid w:val="004F1DA3"/>
    <w:rsid w:val="004F2128"/>
    <w:rsid w:val="004F27D8"/>
    <w:rsid w:val="004F2BA6"/>
    <w:rsid w:val="004F3538"/>
    <w:rsid w:val="004F3F15"/>
    <w:rsid w:val="004F3FB6"/>
    <w:rsid w:val="004F40AF"/>
    <w:rsid w:val="004F45E7"/>
    <w:rsid w:val="004F46AB"/>
    <w:rsid w:val="004F4748"/>
    <w:rsid w:val="004F4F3A"/>
    <w:rsid w:val="004F4F56"/>
    <w:rsid w:val="004F50EB"/>
    <w:rsid w:val="004F5316"/>
    <w:rsid w:val="004F54E5"/>
    <w:rsid w:val="004F5ABA"/>
    <w:rsid w:val="004F657C"/>
    <w:rsid w:val="004F67D4"/>
    <w:rsid w:val="004F6D8F"/>
    <w:rsid w:val="004F6E44"/>
    <w:rsid w:val="004F6EB2"/>
    <w:rsid w:val="004F707B"/>
    <w:rsid w:val="004F7186"/>
    <w:rsid w:val="004F751E"/>
    <w:rsid w:val="004F7665"/>
    <w:rsid w:val="004F7709"/>
    <w:rsid w:val="004F7788"/>
    <w:rsid w:val="004F79C8"/>
    <w:rsid w:val="004F7B96"/>
    <w:rsid w:val="004F7EBA"/>
    <w:rsid w:val="00500856"/>
    <w:rsid w:val="00500FE2"/>
    <w:rsid w:val="00502635"/>
    <w:rsid w:val="0050286F"/>
    <w:rsid w:val="0050338D"/>
    <w:rsid w:val="00503782"/>
    <w:rsid w:val="00503B24"/>
    <w:rsid w:val="00503F2C"/>
    <w:rsid w:val="0050475E"/>
    <w:rsid w:val="005048C4"/>
    <w:rsid w:val="00504C92"/>
    <w:rsid w:val="00504E4A"/>
    <w:rsid w:val="00505635"/>
    <w:rsid w:val="0050646E"/>
    <w:rsid w:val="00506785"/>
    <w:rsid w:val="00506CFD"/>
    <w:rsid w:val="00507027"/>
    <w:rsid w:val="0050731C"/>
    <w:rsid w:val="005076DE"/>
    <w:rsid w:val="005078DA"/>
    <w:rsid w:val="0050795C"/>
    <w:rsid w:val="00507AD1"/>
    <w:rsid w:val="00507CA2"/>
    <w:rsid w:val="00510FE4"/>
    <w:rsid w:val="00511248"/>
    <w:rsid w:val="0051146D"/>
    <w:rsid w:val="00511D6F"/>
    <w:rsid w:val="005128B8"/>
    <w:rsid w:val="005129EF"/>
    <w:rsid w:val="005134D8"/>
    <w:rsid w:val="005135DC"/>
    <w:rsid w:val="00513C68"/>
    <w:rsid w:val="0051456C"/>
    <w:rsid w:val="0051465E"/>
    <w:rsid w:val="005147EC"/>
    <w:rsid w:val="005149A2"/>
    <w:rsid w:val="00514EF1"/>
    <w:rsid w:val="005154B7"/>
    <w:rsid w:val="00515643"/>
    <w:rsid w:val="005157C0"/>
    <w:rsid w:val="0051591B"/>
    <w:rsid w:val="00515A59"/>
    <w:rsid w:val="00516001"/>
    <w:rsid w:val="00516D72"/>
    <w:rsid w:val="00516EF8"/>
    <w:rsid w:val="00517277"/>
    <w:rsid w:val="0051736E"/>
    <w:rsid w:val="00517406"/>
    <w:rsid w:val="005175A9"/>
    <w:rsid w:val="00517635"/>
    <w:rsid w:val="005179A3"/>
    <w:rsid w:val="00517D0E"/>
    <w:rsid w:val="00517E4F"/>
    <w:rsid w:val="00520612"/>
    <w:rsid w:val="00520CF2"/>
    <w:rsid w:val="00521091"/>
    <w:rsid w:val="005212B6"/>
    <w:rsid w:val="00521498"/>
    <w:rsid w:val="00521CA9"/>
    <w:rsid w:val="0052235B"/>
    <w:rsid w:val="00523139"/>
    <w:rsid w:val="0052355D"/>
    <w:rsid w:val="00523AFD"/>
    <w:rsid w:val="0052538F"/>
    <w:rsid w:val="00525527"/>
    <w:rsid w:val="00525A2A"/>
    <w:rsid w:val="00526045"/>
    <w:rsid w:val="005261BE"/>
    <w:rsid w:val="00526429"/>
    <w:rsid w:val="00526C9B"/>
    <w:rsid w:val="00526DB3"/>
    <w:rsid w:val="00527699"/>
    <w:rsid w:val="00527AD2"/>
    <w:rsid w:val="005300EA"/>
    <w:rsid w:val="005309D8"/>
    <w:rsid w:val="00530B24"/>
    <w:rsid w:val="00530D49"/>
    <w:rsid w:val="00530F7B"/>
    <w:rsid w:val="00531055"/>
    <w:rsid w:val="0053108E"/>
    <w:rsid w:val="005315C4"/>
    <w:rsid w:val="00531836"/>
    <w:rsid w:val="00531983"/>
    <w:rsid w:val="0053238C"/>
    <w:rsid w:val="00532618"/>
    <w:rsid w:val="005334A7"/>
    <w:rsid w:val="00533541"/>
    <w:rsid w:val="005342B1"/>
    <w:rsid w:val="00534398"/>
    <w:rsid w:val="005347DB"/>
    <w:rsid w:val="00534B1C"/>
    <w:rsid w:val="00534D89"/>
    <w:rsid w:val="00535004"/>
    <w:rsid w:val="005352BE"/>
    <w:rsid w:val="00535DB6"/>
    <w:rsid w:val="00536213"/>
    <w:rsid w:val="00536ABF"/>
    <w:rsid w:val="00536C00"/>
    <w:rsid w:val="0053708D"/>
    <w:rsid w:val="0053781C"/>
    <w:rsid w:val="00537BC4"/>
    <w:rsid w:val="00537F41"/>
    <w:rsid w:val="0054050F"/>
    <w:rsid w:val="00540AF9"/>
    <w:rsid w:val="00540BE6"/>
    <w:rsid w:val="00540D69"/>
    <w:rsid w:val="00541567"/>
    <w:rsid w:val="0054266A"/>
    <w:rsid w:val="00542875"/>
    <w:rsid w:val="0054416A"/>
    <w:rsid w:val="005447D1"/>
    <w:rsid w:val="00544E58"/>
    <w:rsid w:val="00545228"/>
    <w:rsid w:val="00545415"/>
    <w:rsid w:val="00545AD7"/>
    <w:rsid w:val="00545BF8"/>
    <w:rsid w:val="00545D62"/>
    <w:rsid w:val="00545F1D"/>
    <w:rsid w:val="0054604F"/>
    <w:rsid w:val="00546079"/>
    <w:rsid w:val="00546318"/>
    <w:rsid w:val="00547033"/>
    <w:rsid w:val="00547044"/>
    <w:rsid w:val="00547543"/>
    <w:rsid w:val="00547D5D"/>
    <w:rsid w:val="005506AD"/>
    <w:rsid w:val="0055075B"/>
    <w:rsid w:val="00550E70"/>
    <w:rsid w:val="00551787"/>
    <w:rsid w:val="00551DEC"/>
    <w:rsid w:val="00551DFC"/>
    <w:rsid w:val="005520A5"/>
    <w:rsid w:val="00552B29"/>
    <w:rsid w:val="00552C02"/>
    <w:rsid w:val="00553824"/>
    <w:rsid w:val="00553914"/>
    <w:rsid w:val="005544BC"/>
    <w:rsid w:val="00554818"/>
    <w:rsid w:val="00554A42"/>
    <w:rsid w:val="00554AAD"/>
    <w:rsid w:val="0055514A"/>
    <w:rsid w:val="00555D35"/>
    <w:rsid w:val="005567A9"/>
    <w:rsid w:val="005570CB"/>
    <w:rsid w:val="00557143"/>
    <w:rsid w:val="005577FA"/>
    <w:rsid w:val="00557B48"/>
    <w:rsid w:val="00557B66"/>
    <w:rsid w:val="00557F76"/>
    <w:rsid w:val="00560507"/>
    <w:rsid w:val="00560650"/>
    <w:rsid w:val="00560740"/>
    <w:rsid w:val="00560ED2"/>
    <w:rsid w:val="00560FFD"/>
    <w:rsid w:val="0056167B"/>
    <w:rsid w:val="00561770"/>
    <w:rsid w:val="00561A26"/>
    <w:rsid w:val="00562D4E"/>
    <w:rsid w:val="00562F19"/>
    <w:rsid w:val="005632EC"/>
    <w:rsid w:val="00563D57"/>
    <w:rsid w:val="00564223"/>
    <w:rsid w:val="005649FF"/>
    <w:rsid w:val="00564BE2"/>
    <w:rsid w:val="00564FC4"/>
    <w:rsid w:val="00565676"/>
    <w:rsid w:val="00565962"/>
    <w:rsid w:val="00565E80"/>
    <w:rsid w:val="00566A8D"/>
    <w:rsid w:val="00566D81"/>
    <w:rsid w:val="005670AE"/>
    <w:rsid w:val="005673E4"/>
    <w:rsid w:val="00567888"/>
    <w:rsid w:val="00567D6E"/>
    <w:rsid w:val="0057062A"/>
    <w:rsid w:val="005706E5"/>
    <w:rsid w:val="00570E5D"/>
    <w:rsid w:val="00571187"/>
    <w:rsid w:val="005711C4"/>
    <w:rsid w:val="0057192D"/>
    <w:rsid w:val="00571C61"/>
    <w:rsid w:val="0057242C"/>
    <w:rsid w:val="00572A5C"/>
    <w:rsid w:val="00572CE1"/>
    <w:rsid w:val="00573106"/>
    <w:rsid w:val="00573568"/>
    <w:rsid w:val="00573657"/>
    <w:rsid w:val="0057373B"/>
    <w:rsid w:val="00573A9E"/>
    <w:rsid w:val="0057408F"/>
    <w:rsid w:val="00574398"/>
    <w:rsid w:val="005745BB"/>
    <w:rsid w:val="0057534F"/>
    <w:rsid w:val="005758C5"/>
    <w:rsid w:val="0057597F"/>
    <w:rsid w:val="00575A36"/>
    <w:rsid w:val="00575ABA"/>
    <w:rsid w:val="00575C11"/>
    <w:rsid w:val="005761DC"/>
    <w:rsid w:val="005762F6"/>
    <w:rsid w:val="005763A9"/>
    <w:rsid w:val="00576616"/>
    <w:rsid w:val="0057679C"/>
    <w:rsid w:val="0057703F"/>
    <w:rsid w:val="00580216"/>
    <w:rsid w:val="005803CF"/>
    <w:rsid w:val="00580977"/>
    <w:rsid w:val="00580B54"/>
    <w:rsid w:val="005811E5"/>
    <w:rsid w:val="005814E1"/>
    <w:rsid w:val="0058157F"/>
    <w:rsid w:val="0058162D"/>
    <w:rsid w:val="005817A9"/>
    <w:rsid w:val="005819A6"/>
    <w:rsid w:val="005824E6"/>
    <w:rsid w:val="005825F3"/>
    <w:rsid w:val="00582699"/>
    <w:rsid w:val="00582749"/>
    <w:rsid w:val="00582FDC"/>
    <w:rsid w:val="0058410C"/>
    <w:rsid w:val="005846F2"/>
    <w:rsid w:val="005851FC"/>
    <w:rsid w:val="005855B2"/>
    <w:rsid w:val="005855B5"/>
    <w:rsid w:val="00585B60"/>
    <w:rsid w:val="0058634F"/>
    <w:rsid w:val="005863B5"/>
    <w:rsid w:val="00586F3A"/>
    <w:rsid w:val="0058702F"/>
    <w:rsid w:val="0058709F"/>
    <w:rsid w:val="00587662"/>
    <w:rsid w:val="0058798D"/>
    <w:rsid w:val="00587B73"/>
    <w:rsid w:val="00587F24"/>
    <w:rsid w:val="00590038"/>
    <w:rsid w:val="00590E37"/>
    <w:rsid w:val="005910CC"/>
    <w:rsid w:val="00591AFC"/>
    <w:rsid w:val="00591F67"/>
    <w:rsid w:val="005920D3"/>
    <w:rsid w:val="00592868"/>
    <w:rsid w:val="00592C9F"/>
    <w:rsid w:val="00592CE7"/>
    <w:rsid w:val="00592E6E"/>
    <w:rsid w:val="00592F01"/>
    <w:rsid w:val="00592F91"/>
    <w:rsid w:val="00592FCB"/>
    <w:rsid w:val="00593049"/>
    <w:rsid w:val="0059330A"/>
    <w:rsid w:val="0059364C"/>
    <w:rsid w:val="00593938"/>
    <w:rsid w:val="00594501"/>
    <w:rsid w:val="00594557"/>
    <w:rsid w:val="00594B57"/>
    <w:rsid w:val="00594BF4"/>
    <w:rsid w:val="00594FE1"/>
    <w:rsid w:val="00595131"/>
    <w:rsid w:val="00595EF0"/>
    <w:rsid w:val="00595F83"/>
    <w:rsid w:val="00595F93"/>
    <w:rsid w:val="00596682"/>
    <w:rsid w:val="00596C9E"/>
    <w:rsid w:val="005970A5"/>
    <w:rsid w:val="00597BDF"/>
    <w:rsid w:val="005A10AD"/>
    <w:rsid w:val="005A1198"/>
    <w:rsid w:val="005A1C18"/>
    <w:rsid w:val="005A244E"/>
    <w:rsid w:val="005A2463"/>
    <w:rsid w:val="005A2A35"/>
    <w:rsid w:val="005A2B58"/>
    <w:rsid w:val="005A32B9"/>
    <w:rsid w:val="005A3647"/>
    <w:rsid w:val="005A3BD3"/>
    <w:rsid w:val="005A41D7"/>
    <w:rsid w:val="005A435F"/>
    <w:rsid w:val="005A4BE7"/>
    <w:rsid w:val="005A508D"/>
    <w:rsid w:val="005A51D8"/>
    <w:rsid w:val="005A5335"/>
    <w:rsid w:val="005A5363"/>
    <w:rsid w:val="005A55B4"/>
    <w:rsid w:val="005A5E0F"/>
    <w:rsid w:val="005A73F8"/>
    <w:rsid w:val="005A7842"/>
    <w:rsid w:val="005A78A2"/>
    <w:rsid w:val="005A7B41"/>
    <w:rsid w:val="005B0465"/>
    <w:rsid w:val="005B0703"/>
    <w:rsid w:val="005B0B7D"/>
    <w:rsid w:val="005B0F0C"/>
    <w:rsid w:val="005B0F5B"/>
    <w:rsid w:val="005B174F"/>
    <w:rsid w:val="005B183E"/>
    <w:rsid w:val="005B1D20"/>
    <w:rsid w:val="005B225E"/>
    <w:rsid w:val="005B28C3"/>
    <w:rsid w:val="005B2C4F"/>
    <w:rsid w:val="005B2D64"/>
    <w:rsid w:val="005B2E0E"/>
    <w:rsid w:val="005B3822"/>
    <w:rsid w:val="005B4011"/>
    <w:rsid w:val="005B45FE"/>
    <w:rsid w:val="005B486F"/>
    <w:rsid w:val="005B4AD0"/>
    <w:rsid w:val="005B4C31"/>
    <w:rsid w:val="005B4C96"/>
    <w:rsid w:val="005B5BC2"/>
    <w:rsid w:val="005B5C39"/>
    <w:rsid w:val="005B5F7D"/>
    <w:rsid w:val="005B62B9"/>
    <w:rsid w:val="005B64E5"/>
    <w:rsid w:val="005B6DA8"/>
    <w:rsid w:val="005B6F18"/>
    <w:rsid w:val="005B712B"/>
    <w:rsid w:val="005B714B"/>
    <w:rsid w:val="005B7514"/>
    <w:rsid w:val="005B77EC"/>
    <w:rsid w:val="005C01AA"/>
    <w:rsid w:val="005C0A84"/>
    <w:rsid w:val="005C0B68"/>
    <w:rsid w:val="005C15EB"/>
    <w:rsid w:val="005C169E"/>
    <w:rsid w:val="005C1754"/>
    <w:rsid w:val="005C1D41"/>
    <w:rsid w:val="005C1D95"/>
    <w:rsid w:val="005C21D5"/>
    <w:rsid w:val="005C228E"/>
    <w:rsid w:val="005C2543"/>
    <w:rsid w:val="005C2956"/>
    <w:rsid w:val="005C2AA2"/>
    <w:rsid w:val="005C3049"/>
    <w:rsid w:val="005C3058"/>
    <w:rsid w:val="005C388C"/>
    <w:rsid w:val="005C3AAF"/>
    <w:rsid w:val="005C3BDC"/>
    <w:rsid w:val="005C42C7"/>
    <w:rsid w:val="005C4324"/>
    <w:rsid w:val="005C4509"/>
    <w:rsid w:val="005C46EC"/>
    <w:rsid w:val="005C4785"/>
    <w:rsid w:val="005C487A"/>
    <w:rsid w:val="005C525D"/>
    <w:rsid w:val="005C5447"/>
    <w:rsid w:val="005C57B0"/>
    <w:rsid w:val="005C5A70"/>
    <w:rsid w:val="005C5BCE"/>
    <w:rsid w:val="005C5EA8"/>
    <w:rsid w:val="005C6830"/>
    <w:rsid w:val="005C69D4"/>
    <w:rsid w:val="005C6BE3"/>
    <w:rsid w:val="005C71F9"/>
    <w:rsid w:val="005C74B4"/>
    <w:rsid w:val="005C776F"/>
    <w:rsid w:val="005C784E"/>
    <w:rsid w:val="005C7F30"/>
    <w:rsid w:val="005D07A5"/>
    <w:rsid w:val="005D0AB0"/>
    <w:rsid w:val="005D1313"/>
    <w:rsid w:val="005D14C6"/>
    <w:rsid w:val="005D1C25"/>
    <w:rsid w:val="005D2133"/>
    <w:rsid w:val="005D2160"/>
    <w:rsid w:val="005D2624"/>
    <w:rsid w:val="005D2E6E"/>
    <w:rsid w:val="005D384C"/>
    <w:rsid w:val="005D39FA"/>
    <w:rsid w:val="005D3CF0"/>
    <w:rsid w:val="005D3F40"/>
    <w:rsid w:val="005D3FF3"/>
    <w:rsid w:val="005D42FF"/>
    <w:rsid w:val="005D5C27"/>
    <w:rsid w:val="005D6207"/>
    <w:rsid w:val="005D667A"/>
    <w:rsid w:val="005D6F3F"/>
    <w:rsid w:val="005D6F43"/>
    <w:rsid w:val="005D760B"/>
    <w:rsid w:val="005D764A"/>
    <w:rsid w:val="005D76DF"/>
    <w:rsid w:val="005E01ED"/>
    <w:rsid w:val="005E0486"/>
    <w:rsid w:val="005E060F"/>
    <w:rsid w:val="005E0766"/>
    <w:rsid w:val="005E094C"/>
    <w:rsid w:val="005E0B84"/>
    <w:rsid w:val="005E0D43"/>
    <w:rsid w:val="005E12DA"/>
    <w:rsid w:val="005E151D"/>
    <w:rsid w:val="005E1A7D"/>
    <w:rsid w:val="005E1A8B"/>
    <w:rsid w:val="005E1CB9"/>
    <w:rsid w:val="005E2BFD"/>
    <w:rsid w:val="005E304F"/>
    <w:rsid w:val="005E42BB"/>
    <w:rsid w:val="005E4926"/>
    <w:rsid w:val="005E4C62"/>
    <w:rsid w:val="005E4E1B"/>
    <w:rsid w:val="005E54E1"/>
    <w:rsid w:val="005E63AB"/>
    <w:rsid w:val="005E69E5"/>
    <w:rsid w:val="005E6B3C"/>
    <w:rsid w:val="005E6BF8"/>
    <w:rsid w:val="005E6CF1"/>
    <w:rsid w:val="005E6EA8"/>
    <w:rsid w:val="005E6F42"/>
    <w:rsid w:val="005E7854"/>
    <w:rsid w:val="005F0154"/>
    <w:rsid w:val="005F0826"/>
    <w:rsid w:val="005F1302"/>
    <w:rsid w:val="005F25EB"/>
    <w:rsid w:val="005F314A"/>
    <w:rsid w:val="005F38D3"/>
    <w:rsid w:val="005F3B32"/>
    <w:rsid w:val="005F53CD"/>
    <w:rsid w:val="005F53EC"/>
    <w:rsid w:val="005F5890"/>
    <w:rsid w:val="005F5AA6"/>
    <w:rsid w:val="005F5BCE"/>
    <w:rsid w:val="005F5FB5"/>
    <w:rsid w:val="005F613C"/>
    <w:rsid w:val="005F6594"/>
    <w:rsid w:val="005F6738"/>
    <w:rsid w:val="005F69A6"/>
    <w:rsid w:val="005F6ABB"/>
    <w:rsid w:val="005F708B"/>
    <w:rsid w:val="005F7131"/>
    <w:rsid w:val="005F71FE"/>
    <w:rsid w:val="005F7B95"/>
    <w:rsid w:val="006000F4"/>
    <w:rsid w:val="00600710"/>
    <w:rsid w:val="00600745"/>
    <w:rsid w:val="00600C4B"/>
    <w:rsid w:val="00600E78"/>
    <w:rsid w:val="00601F44"/>
    <w:rsid w:val="00602057"/>
    <w:rsid w:val="00602175"/>
    <w:rsid w:val="0060306C"/>
    <w:rsid w:val="00603584"/>
    <w:rsid w:val="00604FAB"/>
    <w:rsid w:val="0060508A"/>
    <w:rsid w:val="006051E4"/>
    <w:rsid w:val="00605E39"/>
    <w:rsid w:val="00606C94"/>
    <w:rsid w:val="00606DD7"/>
    <w:rsid w:val="006070DC"/>
    <w:rsid w:val="00607275"/>
    <w:rsid w:val="0060798D"/>
    <w:rsid w:val="006079FB"/>
    <w:rsid w:val="00610424"/>
    <w:rsid w:val="006106D9"/>
    <w:rsid w:val="00610940"/>
    <w:rsid w:val="006116A2"/>
    <w:rsid w:val="00611831"/>
    <w:rsid w:val="00611D1A"/>
    <w:rsid w:val="00611E50"/>
    <w:rsid w:val="006121C5"/>
    <w:rsid w:val="00612425"/>
    <w:rsid w:val="0061273B"/>
    <w:rsid w:val="00612F1A"/>
    <w:rsid w:val="00613064"/>
    <w:rsid w:val="00613320"/>
    <w:rsid w:val="006135B3"/>
    <w:rsid w:val="006135C0"/>
    <w:rsid w:val="00613FE4"/>
    <w:rsid w:val="0061413D"/>
    <w:rsid w:val="00614840"/>
    <w:rsid w:val="006148F8"/>
    <w:rsid w:val="006149F7"/>
    <w:rsid w:val="00614FA1"/>
    <w:rsid w:val="00615AFF"/>
    <w:rsid w:val="00615C56"/>
    <w:rsid w:val="00616284"/>
    <w:rsid w:val="0061643B"/>
    <w:rsid w:val="006165C7"/>
    <w:rsid w:val="00616685"/>
    <w:rsid w:val="00616896"/>
    <w:rsid w:val="006169D9"/>
    <w:rsid w:val="00616A8C"/>
    <w:rsid w:val="00616C0B"/>
    <w:rsid w:val="00617857"/>
    <w:rsid w:val="0061787D"/>
    <w:rsid w:val="006178F2"/>
    <w:rsid w:val="00617C56"/>
    <w:rsid w:val="006206B0"/>
    <w:rsid w:val="00620BD4"/>
    <w:rsid w:val="00620DB5"/>
    <w:rsid w:val="00620F81"/>
    <w:rsid w:val="006210B7"/>
    <w:rsid w:val="006213D2"/>
    <w:rsid w:val="00621539"/>
    <w:rsid w:val="00621CE7"/>
    <w:rsid w:val="0062210D"/>
    <w:rsid w:val="00622BD0"/>
    <w:rsid w:val="00622F81"/>
    <w:rsid w:val="006233F8"/>
    <w:rsid w:val="00623875"/>
    <w:rsid w:val="00623C90"/>
    <w:rsid w:val="00624809"/>
    <w:rsid w:val="006254AA"/>
    <w:rsid w:val="006258F5"/>
    <w:rsid w:val="00625913"/>
    <w:rsid w:val="00625BE7"/>
    <w:rsid w:val="0062623E"/>
    <w:rsid w:val="00626A7D"/>
    <w:rsid w:val="00626AEF"/>
    <w:rsid w:val="00626CAB"/>
    <w:rsid w:val="00626D41"/>
    <w:rsid w:val="00626FC4"/>
    <w:rsid w:val="00627202"/>
    <w:rsid w:val="006273CB"/>
    <w:rsid w:val="00627970"/>
    <w:rsid w:val="00630049"/>
    <w:rsid w:val="006306AA"/>
    <w:rsid w:val="00630B4D"/>
    <w:rsid w:val="00630BDF"/>
    <w:rsid w:val="00630D49"/>
    <w:rsid w:val="0063109B"/>
    <w:rsid w:val="00631457"/>
    <w:rsid w:val="006317B4"/>
    <w:rsid w:val="006318E8"/>
    <w:rsid w:val="00631B83"/>
    <w:rsid w:val="00631E70"/>
    <w:rsid w:val="00631F8E"/>
    <w:rsid w:val="00632201"/>
    <w:rsid w:val="00632630"/>
    <w:rsid w:val="00632763"/>
    <w:rsid w:val="00632CD6"/>
    <w:rsid w:val="00632E6F"/>
    <w:rsid w:val="00632F03"/>
    <w:rsid w:val="006334B4"/>
    <w:rsid w:val="00633ADC"/>
    <w:rsid w:val="00633D9E"/>
    <w:rsid w:val="00634089"/>
    <w:rsid w:val="00634266"/>
    <w:rsid w:val="00634269"/>
    <w:rsid w:val="006347B0"/>
    <w:rsid w:val="00634817"/>
    <w:rsid w:val="006349A0"/>
    <w:rsid w:val="00634C62"/>
    <w:rsid w:val="00634F1B"/>
    <w:rsid w:val="0063590A"/>
    <w:rsid w:val="006360E1"/>
    <w:rsid w:val="006364B3"/>
    <w:rsid w:val="006366FE"/>
    <w:rsid w:val="00636888"/>
    <w:rsid w:val="00636898"/>
    <w:rsid w:val="00636C63"/>
    <w:rsid w:val="00636EEC"/>
    <w:rsid w:val="0063759B"/>
    <w:rsid w:val="006400B0"/>
    <w:rsid w:val="0064026E"/>
    <w:rsid w:val="0064050A"/>
    <w:rsid w:val="00640955"/>
    <w:rsid w:val="00640C78"/>
    <w:rsid w:val="006411BE"/>
    <w:rsid w:val="00641983"/>
    <w:rsid w:val="0064207A"/>
    <w:rsid w:val="006423B8"/>
    <w:rsid w:val="0064264C"/>
    <w:rsid w:val="006429B5"/>
    <w:rsid w:val="00642CEA"/>
    <w:rsid w:val="00642E92"/>
    <w:rsid w:val="00642FF4"/>
    <w:rsid w:val="00642FF7"/>
    <w:rsid w:val="0064307E"/>
    <w:rsid w:val="00643247"/>
    <w:rsid w:val="00643363"/>
    <w:rsid w:val="0064363A"/>
    <w:rsid w:val="00643C28"/>
    <w:rsid w:val="00643D3B"/>
    <w:rsid w:val="00643EDE"/>
    <w:rsid w:val="00644552"/>
    <w:rsid w:val="0064553D"/>
    <w:rsid w:val="00645F6B"/>
    <w:rsid w:val="00645FBD"/>
    <w:rsid w:val="006460B4"/>
    <w:rsid w:val="0064617A"/>
    <w:rsid w:val="00646382"/>
    <w:rsid w:val="006464A0"/>
    <w:rsid w:val="006465D6"/>
    <w:rsid w:val="0064685F"/>
    <w:rsid w:val="00646AA2"/>
    <w:rsid w:val="00646B90"/>
    <w:rsid w:val="00646CE7"/>
    <w:rsid w:val="006473F7"/>
    <w:rsid w:val="006478A8"/>
    <w:rsid w:val="00647BB8"/>
    <w:rsid w:val="00647E78"/>
    <w:rsid w:val="00647EF3"/>
    <w:rsid w:val="00650EB3"/>
    <w:rsid w:val="00651F91"/>
    <w:rsid w:val="00652003"/>
    <w:rsid w:val="00652019"/>
    <w:rsid w:val="00653923"/>
    <w:rsid w:val="00653B30"/>
    <w:rsid w:val="00653CCB"/>
    <w:rsid w:val="00653D32"/>
    <w:rsid w:val="006541B2"/>
    <w:rsid w:val="0065481C"/>
    <w:rsid w:val="006565AD"/>
    <w:rsid w:val="006568AB"/>
    <w:rsid w:val="006572D5"/>
    <w:rsid w:val="006577E8"/>
    <w:rsid w:val="006578A2"/>
    <w:rsid w:val="006579D2"/>
    <w:rsid w:val="00657E26"/>
    <w:rsid w:val="0066022A"/>
    <w:rsid w:val="00660E8B"/>
    <w:rsid w:val="0066113B"/>
    <w:rsid w:val="006612E8"/>
    <w:rsid w:val="00661558"/>
    <w:rsid w:val="006620A1"/>
    <w:rsid w:val="00662691"/>
    <w:rsid w:val="00662A46"/>
    <w:rsid w:val="00662AAD"/>
    <w:rsid w:val="00663087"/>
    <w:rsid w:val="00664197"/>
    <w:rsid w:val="006642E9"/>
    <w:rsid w:val="00664A77"/>
    <w:rsid w:val="00664BFB"/>
    <w:rsid w:val="0066506A"/>
    <w:rsid w:val="00665D34"/>
    <w:rsid w:val="006665EC"/>
    <w:rsid w:val="006667B5"/>
    <w:rsid w:val="00666916"/>
    <w:rsid w:val="00666C79"/>
    <w:rsid w:val="00667513"/>
    <w:rsid w:val="00670620"/>
    <w:rsid w:val="00670796"/>
    <w:rsid w:val="00670DC7"/>
    <w:rsid w:val="00671236"/>
    <w:rsid w:val="0067165C"/>
    <w:rsid w:val="00671B9F"/>
    <w:rsid w:val="0067235A"/>
    <w:rsid w:val="00672652"/>
    <w:rsid w:val="00672734"/>
    <w:rsid w:val="00672B1D"/>
    <w:rsid w:val="00672C24"/>
    <w:rsid w:val="00673027"/>
    <w:rsid w:val="00673112"/>
    <w:rsid w:val="00673443"/>
    <w:rsid w:val="00673BC4"/>
    <w:rsid w:val="00673C7E"/>
    <w:rsid w:val="006747CA"/>
    <w:rsid w:val="00674A32"/>
    <w:rsid w:val="006754EB"/>
    <w:rsid w:val="0067581C"/>
    <w:rsid w:val="00675DE6"/>
    <w:rsid w:val="00675FD9"/>
    <w:rsid w:val="006764A1"/>
    <w:rsid w:val="0067653E"/>
    <w:rsid w:val="006765DE"/>
    <w:rsid w:val="00676756"/>
    <w:rsid w:val="00676DDC"/>
    <w:rsid w:val="00676FB5"/>
    <w:rsid w:val="00677CFA"/>
    <w:rsid w:val="00677F69"/>
    <w:rsid w:val="0068001B"/>
    <w:rsid w:val="00680907"/>
    <w:rsid w:val="00680DCE"/>
    <w:rsid w:val="00680E54"/>
    <w:rsid w:val="0068128B"/>
    <w:rsid w:val="006816D8"/>
    <w:rsid w:val="00681DA6"/>
    <w:rsid w:val="00681F37"/>
    <w:rsid w:val="00682CFE"/>
    <w:rsid w:val="00682EEE"/>
    <w:rsid w:val="0068363B"/>
    <w:rsid w:val="0068420D"/>
    <w:rsid w:val="00684BF7"/>
    <w:rsid w:val="00684C81"/>
    <w:rsid w:val="00684E58"/>
    <w:rsid w:val="00684E8F"/>
    <w:rsid w:val="006852F7"/>
    <w:rsid w:val="00685574"/>
    <w:rsid w:val="00685CFB"/>
    <w:rsid w:val="006861E7"/>
    <w:rsid w:val="00686239"/>
    <w:rsid w:val="006878B0"/>
    <w:rsid w:val="00687BF4"/>
    <w:rsid w:val="00687E1F"/>
    <w:rsid w:val="006901A7"/>
    <w:rsid w:val="0069054B"/>
    <w:rsid w:val="006912C2"/>
    <w:rsid w:val="0069193D"/>
    <w:rsid w:val="00691944"/>
    <w:rsid w:val="00691ABF"/>
    <w:rsid w:val="00692143"/>
    <w:rsid w:val="006923A6"/>
    <w:rsid w:val="006926C2"/>
    <w:rsid w:val="006928B6"/>
    <w:rsid w:val="00692D8E"/>
    <w:rsid w:val="00692EE7"/>
    <w:rsid w:val="00693D30"/>
    <w:rsid w:val="006940CF"/>
    <w:rsid w:val="00694DF5"/>
    <w:rsid w:val="00695FE4"/>
    <w:rsid w:val="0069617C"/>
    <w:rsid w:val="00696606"/>
    <w:rsid w:val="0069661F"/>
    <w:rsid w:val="00697241"/>
    <w:rsid w:val="006973C3"/>
    <w:rsid w:val="006974DE"/>
    <w:rsid w:val="0069758A"/>
    <w:rsid w:val="00697CF0"/>
    <w:rsid w:val="00697D23"/>
    <w:rsid w:val="00697D6F"/>
    <w:rsid w:val="00697E2C"/>
    <w:rsid w:val="00697EF6"/>
    <w:rsid w:val="006A033C"/>
    <w:rsid w:val="006A0648"/>
    <w:rsid w:val="006A0DF8"/>
    <w:rsid w:val="006A134C"/>
    <w:rsid w:val="006A1638"/>
    <w:rsid w:val="006A1D1D"/>
    <w:rsid w:val="006A2296"/>
    <w:rsid w:val="006A25DB"/>
    <w:rsid w:val="006A2778"/>
    <w:rsid w:val="006A2A82"/>
    <w:rsid w:val="006A3379"/>
    <w:rsid w:val="006A3E24"/>
    <w:rsid w:val="006A4062"/>
    <w:rsid w:val="006A44AC"/>
    <w:rsid w:val="006A512C"/>
    <w:rsid w:val="006A57B6"/>
    <w:rsid w:val="006A5BA4"/>
    <w:rsid w:val="006A5C9F"/>
    <w:rsid w:val="006A6362"/>
    <w:rsid w:val="006A6A99"/>
    <w:rsid w:val="006A6D96"/>
    <w:rsid w:val="006A6FC2"/>
    <w:rsid w:val="006A741E"/>
    <w:rsid w:val="006A755E"/>
    <w:rsid w:val="006A7DB9"/>
    <w:rsid w:val="006A7EC9"/>
    <w:rsid w:val="006B00D0"/>
    <w:rsid w:val="006B0B19"/>
    <w:rsid w:val="006B1059"/>
    <w:rsid w:val="006B10CE"/>
    <w:rsid w:val="006B1231"/>
    <w:rsid w:val="006B12EF"/>
    <w:rsid w:val="006B1654"/>
    <w:rsid w:val="006B192A"/>
    <w:rsid w:val="006B1B08"/>
    <w:rsid w:val="006B1CC2"/>
    <w:rsid w:val="006B2E1F"/>
    <w:rsid w:val="006B3137"/>
    <w:rsid w:val="006B31B4"/>
    <w:rsid w:val="006B31DB"/>
    <w:rsid w:val="006B343B"/>
    <w:rsid w:val="006B3C54"/>
    <w:rsid w:val="006B4528"/>
    <w:rsid w:val="006B4ACD"/>
    <w:rsid w:val="006B4F3E"/>
    <w:rsid w:val="006B54B0"/>
    <w:rsid w:val="006B560D"/>
    <w:rsid w:val="006B57B1"/>
    <w:rsid w:val="006B637B"/>
    <w:rsid w:val="006B6545"/>
    <w:rsid w:val="006B6A86"/>
    <w:rsid w:val="006B7197"/>
    <w:rsid w:val="006B7813"/>
    <w:rsid w:val="006B7BAA"/>
    <w:rsid w:val="006C0029"/>
    <w:rsid w:val="006C0892"/>
    <w:rsid w:val="006C08DC"/>
    <w:rsid w:val="006C12F3"/>
    <w:rsid w:val="006C252C"/>
    <w:rsid w:val="006C26BB"/>
    <w:rsid w:val="006C2722"/>
    <w:rsid w:val="006C2C80"/>
    <w:rsid w:val="006C2D41"/>
    <w:rsid w:val="006C32FB"/>
    <w:rsid w:val="006C3406"/>
    <w:rsid w:val="006C3693"/>
    <w:rsid w:val="006C3B58"/>
    <w:rsid w:val="006C3C07"/>
    <w:rsid w:val="006C3C9F"/>
    <w:rsid w:val="006C4129"/>
    <w:rsid w:val="006C46C2"/>
    <w:rsid w:val="006C4D3C"/>
    <w:rsid w:val="006C4D9B"/>
    <w:rsid w:val="006C50C4"/>
    <w:rsid w:val="006C5690"/>
    <w:rsid w:val="006C579E"/>
    <w:rsid w:val="006C5A53"/>
    <w:rsid w:val="006C66D5"/>
    <w:rsid w:val="006C7621"/>
    <w:rsid w:val="006C77C9"/>
    <w:rsid w:val="006C78B9"/>
    <w:rsid w:val="006D0335"/>
    <w:rsid w:val="006D0456"/>
    <w:rsid w:val="006D0F2D"/>
    <w:rsid w:val="006D1438"/>
    <w:rsid w:val="006D1592"/>
    <w:rsid w:val="006D2009"/>
    <w:rsid w:val="006D2341"/>
    <w:rsid w:val="006D28B8"/>
    <w:rsid w:val="006D2E1F"/>
    <w:rsid w:val="006D2F33"/>
    <w:rsid w:val="006D3695"/>
    <w:rsid w:val="006D3B1D"/>
    <w:rsid w:val="006D41BD"/>
    <w:rsid w:val="006D45D8"/>
    <w:rsid w:val="006D4603"/>
    <w:rsid w:val="006D57CC"/>
    <w:rsid w:val="006D5ADF"/>
    <w:rsid w:val="006D5E6E"/>
    <w:rsid w:val="006D6841"/>
    <w:rsid w:val="006D68C9"/>
    <w:rsid w:val="006D735A"/>
    <w:rsid w:val="006D7843"/>
    <w:rsid w:val="006D79BC"/>
    <w:rsid w:val="006E0281"/>
    <w:rsid w:val="006E079B"/>
    <w:rsid w:val="006E0AD3"/>
    <w:rsid w:val="006E1116"/>
    <w:rsid w:val="006E1168"/>
    <w:rsid w:val="006E1294"/>
    <w:rsid w:val="006E149C"/>
    <w:rsid w:val="006E15E0"/>
    <w:rsid w:val="006E1EE9"/>
    <w:rsid w:val="006E1F19"/>
    <w:rsid w:val="006E2F6F"/>
    <w:rsid w:val="006E2F99"/>
    <w:rsid w:val="006E3057"/>
    <w:rsid w:val="006E308C"/>
    <w:rsid w:val="006E413D"/>
    <w:rsid w:val="006E5236"/>
    <w:rsid w:val="006E5266"/>
    <w:rsid w:val="006E5A17"/>
    <w:rsid w:val="006E616D"/>
    <w:rsid w:val="006E63DB"/>
    <w:rsid w:val="006E6906"/>
    <w:rsid w:val="006E69A5"/>
    <w:rsid w:val="006E6E0D"/>
    <w:rsid w:val="006E7563"/>
    <w:rsid w:val="006E763C"/>
    <w:rsid w:val="006E7993"/>
    <w:rsid w:val="006F0092"/>
    <w:rsid w:val="006F00D8"/>
    <w:rsid w:val="006F108E"/>
    <w:rsid w:val="006F137C"/>
    <w:rsid w:val="006F13D7"/>
    <w:rsid w:val="006F1941"/>
    <w:rsid w:val="006F19AD"/>
    <w:rsid w:val="006F1C08"/>
    <w:rsid w:val="006F1C4D"/>
    <w:rsid w:val="006F1DC8"/>
    <w:rsid w:val="006F29B2"/>
    <w:rsid w:val="006F2D9A"/>
    <w:rsid w:val="006F30AF"/>
    <w:rsid w:val="006F33DB"/>
    <w:rsid w:val="006F34E9"/>
    <w:rsid w:val="006F3503"/>
    <w:rsid w:val="006F359D"/>
    <w:rsid w:val="006F3FF5"/>
    <w:rsid w:val="006F44FA"/>
    <w:rsid w:val="006F48B5"/>
    <w:rsid w:val="006F4A2D"/>
    <w:rsid w:val="006F4B48"/>
    <w:rsid w:val="006F4B83"/>
    <w:rsid w:val="006F4C5F"/>
    <w:rsid w:val="006F4EC4"/>
    <w:rsid w:val="006F4F4B"/>
    <w:rsid w:val="006F53DC"/>
    <w:rsid w:val="006F5860"/>
    <w:rsid w:val="006F58F0"/>
    <w:rsid w:val="006F6619"/>
    <w:rsid w:val="006F694F"/>
    <w:rsid w:val="006F6BC3"/>
    <w:rsid w:val="006F6D66"/>
    <w:rsid w:val="006F7178"/>
    <w:rsid w:val="00700017"/>
    <w:rsid w:val="0070032F"/>
    <w:rsid w:val="00700692"/>
    <w:rsid w:val="00700726"/>
    <w:rsid w:val="007010A2"/>
    <w:rsid w:val="0070139E"/>
    <w:rsid w:val="00701DB6"/>
    <w:rsid w:val="00701E77"/>
    <w:rsid w:val="0070257F"/>
    <w:rsid w:val="00702A27"/>
    <w:rsid w:val="00703521"/>
    <w:rsid w:val="00703560"/>
    <w:rsid w:val="00704018"/>
    <w:rsid w:val="007040F8"/>
    <w:rsid w:val="007042FD"/>
    <w:rsid w:val="007056B3"/>
    <w:rsid w:val="007057D0"/>
    <w:rsid w:val="00705BD3"/>
    <w:rsid w:val="007067A4"/>
    <w:rsid w:val="00706ADB"/>
    <w:rsid w:val="00707A20"/>
    <w:rsid w:val="00707A52"/>
    <w:rsid w:val="00707D04"/>
    <w:rsid w:val="00707DF4"/>
    <w:rsid w:val="007102C7"/>
    <w:rsid w:val="0071074E"/>
    <w:rsid w:val="007109A5"/>
    <w:rsid w:val="007110A3"/>
    <w:rsid w:val="00711337"/>
    <w:rsid w:val="00711736"/>
    <w:rsid w:val="00711769"/>
    <w:rsid w:val="00711AEF"/>
    <w:rsid w:val="00711C6D"/>
    <w:rsid w:val="00711FA4"/>
    <w:rsid w:val="00711FF4"/>
    <w:rsid w:val="007120EC"/>
    <w:rsid w:val="00712541"/>
    <w:rsid w:val="0071274E"/>
    <w:rsid w:val="00712ADB"/>
    <w:rsid w:val="007135D7"/>
    <w:rsid w:val="007136C5"/>
    <w:rsid w:val="007136F0"/>
    <w:rsid w:val="00714CF6"/>
    <w:rsid w:val="00714D2C"/>
    <w:rsid w:val="0071510C"/>
    <w:rsid w:val="00715D75"/>
    <w:rsid w:val="00715DAD"/>
    <w:rsid w:val="00715E73"/>
    <w:rsid w:val="0071605D"/>
    <w:rsid w:val="0071650B"/>
    <w:rsid w:val="007168AA"/>
    <w:rsid w:val="0071697C"/>
    <w:rsid w:val="00716C3A"/>
    <w:rsid w:val="00717976"/>
    <w:rsid w:val="007179B0"/>
    <w:rsid w:val="0072098B"/>
    <w:rsid w:val="0072108B"/>
    <w:rsid w:val="00721141"/>
    <w:rsid w:val="00721E66"/>
    <w:rsid w:val="00721E8B"/>
    <w:rsid w:val="00722235"/>
    <w:rsid w:val="00722859"/>
    <w:rsid w:val="00722A2E"/>
    <w:rsid w:val="00723563"/>
    <w:rsid w:val="007238A2"/>
    <w:rsid w:val="00723EBA"/>
    <w:rsid w:val="0072560E"/>
    <w:rsid w:val="00725665"/>
    <w:rsid w:val="007257EE"/>
    <w:rsid w:val="00725AC7"/>
    <w:rsid w:val="00725ACA"/>
    <w:rsid w:val="00725D5C"/>
    <w:rsid w:val="00727C1D"/>
    <w:rsid w:val="00727CD3"/>
    <w:rsid w:val="0073020C"/>
    <w:rsid w:val="0073036E"/>
    <w:rsid w:val="00730578"/>
    <w:rsid w:val="00730B07"/>
    <w:rsid w:val="00730C20"/>
    <w:rsid w:val="00731077"/>
    <w:rsid w:val="00731698"/>
    <w:rsid w:val="00731A7C"/>
    <w:rsid w:val="00731E76"/>
    <w:rsid w:val="0073206F"/>
    <w:rsid w:val="00732483"/>
    <w:rsid w:val="00732A5A"/>
    <w:rsid w:val="00732D7E"/>
    <w:rsid w:val="00732DDA"/>
    <w:rsid w:val="007336B7"/>
    <w:rsid w:val="00733EBE"/>
    <w:rsid w:val="0073419E"/>
    <w:rsid w:val="007344F2"/>
    <w:rsid w:val="00735122"/>
    <w:rsid w:val="0073580B"/>
    <w:rsid w:val="00735A1C"/>
    <w:rsid w:val="00735ADD"/>
    <w:rsid w:val="00736289"/>
    <w:rsid w:val="0073670F"/>
    <w:rsid w:val="007368A5"/>
    <w:rsid w:val="00736A35"/>
    <w:rsid w:val="00736A75"/>
    <w:rsid w:val="00737760"/>
    <w:rsid w:val="00737C74"/>
    <w:rsid w:val="00737EC3"/>
    <w:rsid w:val="00737F1B"/>
    <w:rsid w:val="0074001B"/>
    <w:rsid w:val="00740470"/>
    <w:rsid w:val="007405B5"/>
    <w:rsid w:val="007406C3"/>
    <w:rsid w:val="00741321"/>
    <w:rsid w:val="00741416"/>
    <w:rsid w:val="007418EC"/>
    <w:rsid w:val="00741B72"/>
    <w:rsid w:val="00742936"/>
    <w:rsid w:val="00742AA3"/>
    <w:rsid w:val="00743117"/>
    <w:rsid w:val="00743271"/>
    <w:rsid w:val="007433F9"/>
    <w:rsid w:val="00743720"/>
    <w:rsid w:val="007444B5"/>
    <w:rsid w:val="00744883"/>
    <w:rsid w:val="00744E7B"/>
    <w:rsid w:val="007451C0"/>
    <w:rsid w:val="007455E6"/>
    <w:rsid w:val="007456CD"/>
    <w:rsid w:val="0074575C"/>
    <w:rsid w:val="00745F7C"/>
    <w:rsid w:val="007462E7"/>
    <w:rsid w:val="00746BFE"/>
    <w:rsid w:val="00747064"/>
    <w:rsid w:val="007476F5"/>
    <w:rsid w:val="00747F7F"/>
    <w:rsid w:val="00750F3C"/>
    <w:rsid w:val="00751A14"/>
    <w:rsid w:val="00752279"/>
    <w:rsid w:val="007522C6"/>
    <w:rsid w:val="007524F8"/>
    <w:rsid w:val="007529DD"/>
    <w:rsid w:val="00753761"/>
    <w:rsid w:val="0075395C"/>
    <w:rsid w:val="00753ABA"/>
    <w:rsid w:val="00754332"/>
    <w:rsid w:val="00754992"/>
    <w:rsid w:val="00754A70"/>
    <w:rsid w:val="00754A95"/>
    <w:rsid w:val="00754CEF"/>
    <w:rsid w:val="00754CF6"/>
    <w:rsid w:val="00754D67"/>
    <w:rsid w:val="00754E1B"/>
    <w:rsid w:val="0075501A"/>
    <w:rsid w:val="007550C5"/>
    <w:rsid w:val="007553CA"/>
    <w:rsid w:val="007554E4"/>
    <w:rsid w:val="0075559A"/>
    <w:rsid w:val="00755ECD"/>
    <w:rsid w:val="00756191"/>
    <w:rsid w:val="007562DA"/>
    <w:rsid w:val="00756E4C"/>
    <w:rsid w:val="0076084C"/>
    <w:rsid w:val="00760D0F"/>
    <w:rsid w:val="0076147E"/>
    <w:rsid w:val="007617DC"/>
    <w:rsid w:val="0076198A"/>
    <w:rsid w:val="00761DC2"/>
    <w:rsid w:val="007629A1"/>
    <w:rsid w:val="00763B7F"/>
    <w:rsid w:val="0076418E"/>
    <w:rsid w:val="00764324"/>
    <w:rsid w:val="0076482A"/>
    <w:rsid w:val="00764A5C"/>
    <w:rsid w:val="00764C3A"/>
    <w:rsid w:val="00764CCD"/>
    <w:rsid w:val="00764F53"/>
    <w:rsid w:val="00765122"/>
    <w:rsid w:val="007651A4"/>
    <w:rsid w:val="007656C3"/>
    <w:rsid w:val="00765EEB"/>
    <w:rsid w:val="007667EB"/>
    <w:rsid w:val="007671CA"/>
    <w:rsid w:val="007674B3"/>
    <w:rsid w:val="00767B33"/>
    <w:rsid w:val="00767EEF"/>
    <w:rsid w:val="00770312"/>
    <w:rsid w:val="00770620"/>
    <w:rsid w:val="007708E2"/>
    <w:rsid w:val="007709F1"/>
    <w:rsid w:val="00770C7D"/>
    <w:rsid w:val="00770DA9"/>
    <w:rsid w:val="0077129F"/>
    <w:rsid w:val="00771BCB"/>
    <w:rsid w:val="00771C39"/>
    <w:rsid w:val="00771C74"/>
    <w:rsid w:val="0077250E"/>
    <w:rsid w:val="0077284D"/>
    <w:rsid w:val="00773202"/>
    <w:rsid w:val="00774190"/>
    <w:rsid w:val="007744F2"/>
    <w:rsid w:val="00774909"/>
    <w:rsid w:val="00774B33"/>
    <w:rsid w:val="00774CA7"/>
    <w:rsid w:val="0077559F"/>
    <w:rsid w:val="00775A9F"/>
    <w:rsid w:val="00775AAB"/>
    <w:rsid w:val="00776E06"/>
    <w:rsid w:val="00777809"/>
    <w:rsid w:val="007800DA"/>
    <w:rsid w:val="00780A90"/>
    <w:rsid w:val="00781059"/>
    <w:rsid w:val="00781080"/>
    <w:rsid w:val="00781278"/>
    <w:rsid w:val="00781A0C"/>
    <w:rsid w:val="00781A20"/>
    <w:rsid w:val="00782996"/>
    <w:rsid w:val="00782A8C"/>
    <w:rsid w:val="00782AA5"/>
    <w:rsid w:val="00782E46"/>
    <w:rsid w:val="007833CA"/>
    <w:rsid w:val="0078378B"/>
    <w:rsid w:val="0078393F"/>
    <w:rsid w:val="00783A53"/>
    <w:rsid w:val="00783D1B"/>
    <w:rsid w:val="00784030"/>
    <w:rsid w:val="007841B0"/>
    <w:rsid w:val="007842FB"/>
    <w:rsid w:val="00784448"/>
    <w:rsid w:val="00784514"/>
    <w:rsid w:val="0078496C"/>
    <w:rsid w:val="00784D5B"/>
    <w:rsid w:val="00784E9A"/>
    <w:rsid w:val="00785056"/>
    <w:rsid w:val="007851C2"/>
    <w:rsid w:val="007854C3"/>
    <w:rsid w:val="007856AC"/>
    <w:rsid w:val="007858DA"/>
    <w:rsid w:val="007861F5"/>
    <w:rsid w:val="00786399"/>
    <w:rsid w:val="007866FE"/>
    <w:rsid w:val="007869BE"/>
    <w:rsid w:val="007870C2"/>
    <w:rsid w:val="00787DE1"/>
    <w:rsid w:val="007901EC"/>
    <w:rsid w:val="0079021C"/>
    <w:rsid w:val="0079029A"/>
    <w:rsid w:val="0079046C"/>
    <w:rsid w:val="00791130"/>
    <w:rsid w:val="00791239"/>
    <w:rsid w:val="0079130F"/>
    <w:rsid w:val="00791E76"/>
    <w:rsid w:val="007926EE"/>
    <w:rsid w:val="00792818"/>
    <w:rsid w:val="00792CDF"/>
    <w:rsid w:val="007930DE"/>
    <w:rsid w:val="00793658"/>
    <w:rsid w:val="00793932"/>
    <w:rsid w:val="00793A49"/>
    <w:rsid w:val="007943BF"/>
    <w:rsid w:val="0079465F"/>
    <w:rsid w:val="0079475E"/>
    <w:rsid w:val="00794DB1"/>
    <w:rsid w:val="007955D2"/>
    <w:rsid w:val="00795802"/>
    <w:rsid w:val="00795BE0"/>
    <w:rsid w:val="007962E4"/>
    <w:rsid w:val="007963EF"/>
    <w:rsid w:val="0079703B"/>
    <w:rsid w:val="007979BA"/>
    <w:rsid w:val="00797C44"/>
    <w:rsid w:val="00797E50"/>
    <w:rsid w:val="00797ED0"/>
    <w:rsid w:val="007A0133"/>
    <w:rsid w:val="007A02DA"/>
    <w:rsid w:val="007A037E"/>
    <w:rsid w:val="007A0F22"/>
    <w:rsid w:val="007A0F3B"/>
    <w:rsid w:val="007A1927"/>
    <w:rsid w:val="007A1B54"/>
    <w:rsid w:val="007A1BE8"/>
    <w:rsid w:val="007A1C36"/>
    <w:rsid w:val="007A1FF6"/>
    <w:rsid w:val="007A212A"/>
    <w:rsid w:val="007A2C93"/>
    <w:rsid w:val="007A2E56"/>
    <w:rsid w:val="007A34A7"/>
    <w:rsid w:val="007A3590"/>
    <w:rsid w:val="007A3810"/>
    <w:rsid w:val="007A381B"/>
    <w:rsid w:val="007A3860"/>
    <w:rsid w:val="007A38D2"/>
    <w:rsid w:val="007A3D02"/>
    <w:rsid w:val="007A4143"/>
    <w:rsid w:val="007A4782"/>
    <w:rsid w:val="007A4BB3"/>
    <w:rsid w:val="007A4ECC"/>
    <w:rsid w:val="007A5805"/>
    <w:rsid w:val="007A69AD"/>
    <w:rsid w:val="007A6AEA"/>
    <w:rsid w:val="007A6D93"/>
    <w:rsid w:val="007A7388"/>
    <w:rsid w:val="007A7955"/>
    <w:rsid w:val="007A7AC3"/>
    <w:rsid w:val="007A7CA7"/>
    <w:rsid w:val="007A7E72"/>
    <w:rsid w:val="007A7ECE"/>
    <w:rsid w:val="007B09C0"/>
    <w:rsid w:val="007B0FDA"/>
    <w:rsid w:val="007B116C"/>
    <w:rsid w:val="007B117B"/>
    <w:rsid w:val="007B1735"/>
    <w:rsid w:val="007B1747"/>
    <w:rsid w:val="007B186D"/>
    <w:rsid w:val="007B2297"/>
    <w:rsid w:val="007B23E1"/>
    <w:rsid w:val="007B2647"/>
    <w:rsid w:val="007B279C"/>
    <w:rsid w:val="007B2DE1"/>
    <w:rsid w:val="007B2E8C"/>
    <w:rsid w:val="007B350A"/>
    <w:rsid w:val="007B3956"/>
    <w:rsid w:val="007B39FD"/>
    <w:rsid w:val="007B3D68"/>
    <w:rsid w:val="007B3F7A"/>
    <w:rsid w:val="007B40AA"/>
    <w:rsid w:val="007B4A33"/>
    <w:rsid w:val="007B4B42"/>
    <w:rsid w:val="007B4D05"/>
    <w:rsid w:val="007B5458"/>
    <w:rsid w:val="007B5531"/>
    <w:rsid w:val="007B5A9D"/>
    <w:rsid w:val="007B64AC"/>
    <w:rsid w:val="007B6CCA"/>
    <w:rsid w:val="007B70EC"/>
    <w:rsid w:val="007B779B"/>
    <w:rsid w:val="007C0397"/>
    <w:rsid w:val="007C0D21"/>
    <w:rsid w:val="007C11C5"/>
    <w:rsid w:val="007C130E"/>
    <w:rsid w:val="007C180F"/>
    <w:rsid w:val="007C1DB5"/>
    <w:rsid w:val="007C2392"/>
    <w:rsid w:val="007C2421"/>
    <w:rsid w:val="007C3180"/>
    <w:rsid w:val="007C31EC"/>
    <w:rsid w:val="007C3CA5"/>
    <w:rsid w:val="007C3F9B"/>
    <w:rsid w:val="007C4027"/>
    <w:rsid w:val="007C4105"/>
    <w:rsid w:val="007C48BB"/>
    <w:rsid w:val="007C4B4E"/>
    <w:rsid w:val="007C56E5"/>
    <w:rsid w:val="007C63A3"/>
    <w:rsid w:val="007C657A"/>
    <w:rsid w:val="007C6CB4"/>
    <w:rsid w:val="007C6ED6"/>
    <w:rsid w:val="007C73CB"/>
    <w:rsid w:val="007C75BB"/>
    <w:rsid w:val="007D0348"/>
    <w:rsid w:val="007D068E"/>
    <w:rsid w:val="007D12CC"/>
    <w:rsid w:val="007D15FC"/>
    <w:rsid w:val="007D1A80"/>
    <w:rsid w:val="007D1B5B"/>
    <w:rsid w:val="007D1CDF"/>
    <w:rsid w:val="007D276F"/>
    <w:rsid w:val="007D3198"/>
    <w:rsid w:val="007D357D"/>
    <w:rsid w:val="007D3ADC"/>
    <w:rsid w:val="007D5301"/>
    <w:rsid w:val="007D5A46"/>
    <w:rsid w:val="007D5CEF"/>
    <w:rsid w:val="007D605D"/>
    <w:rsid w:val="007D63ED"/>
    <w:rsid w:val="007D6A1C"/>
    <w:rsid w:val="007D6D1D"/>
    <w:rsid w:val="007D7462"/>
    <w:rsid w:val="007D7EBF"/>
    <w:rsid w:val="007E03A2"/>
    <w:rsid w:val="007E067C"/>
    <w:rsid w:val="007E09E8"/>
    <w:rsid w:val="007E0B39"/>
    <w:rsid w:val="007E0C9D"/>
    <w:rsid w:val="007E0DC9"/>
    <w:rsid w:val="007E12D7"/>
    <w:rsid w:val="007E1686"/>
    <w:rsid w:val="007E1ABA"/>
    <w:rsid w:val="007E22BD"/>
    <w:rsid w:val="007E297F"/>
    <w:rsid w:val="007E3199"/>
    <w:rsid w:val="007E31D9"/>
    <w:rsid w:val="007E36DB"/>
    <w:rsid w:val="007E36FA"/>
    <w:rsid w:val="007E3785"/>
    <w:rsid w:val="007E3B70"/>
    <w:rsid w:val="007E3D9D"/>
    <w:rsid w:val="007E4236"/>
    <w:rsid w:val="007E42F3"/>
    <w:rsid w:val="007E480F"/>
    <w:rsid w:val="007E5278"/>
    <w:rsid w:val="007E561A"/>
    <w:rsid w:val="007E6135"/>
    <w:rsid w:val="007E61EB"/>
    <w:rsid w:val="007E6760"/>
    <w:rsid w:val="007E6EC1"/>
    <w:rsid w:val="007E6FF2"/>
    <w:rsid w:val="007E70FF"/>
    <w:rsid w:val="007E77C4"/>
    <w:rsid w:val="007F00F4"/>
    <w:rsid w:val="007F0A78"/>
    <w:rsid w:val="007F11E2"/>
    <w:rsid w:val="007F1942"/>
    <w:rsid w:val="007F2067"/>
    <w:rsid w:val="007F20E4"/>
    <w:rsid w:val="007F246D"/>
    <w:rsid w:val="007F24B3"/>
    <w:rsid w:val="007F2C82"/>
    <w:rsid w:val="007F2E2C"/>
    <w:rsid w:val="007F33FF"/>
    <w:rsid w:val="007F34B5"/>
    <w:rsid w:val="007F34F4"/>
    <w:rsid w:val="007F36F0"/>
    <w:rsid w:val="007F3BF1"/>
    <w:rsid w:val="007F413A"/>
    <w:rsid w:val="007F41DC"/>
    <w:rsid w:val="007F43D6"/>
    <w:rsid w:val="007F44E2"/>
    <w:rsid w:val="007F484B"/>
    <w:rsid w:val="007F4B0E"/>
    <w:rsid w:val="007F53CB"/>
    <w:rsid w:val="007F5475"/>
    <w:rsid w:val="007F5565"/>
    <w:rsid w:val="007F5E49"/>
    <w:rsid w:val="007F7167"/>
    <w:rsid w:val="007F739F"/>
    <w:rsid w:val="007F76CC"/>
    <w:rsid w:val="007F76CE"/>
    <w:rsid w:val="007F77CD"/>
    <w:rsid w:val="008009B2"/>
    <w:rsid w:val="008009C3"/>
    <w:rsid w:val="008009E5"/>
    <w:rsid w:val="00800A33"/>
    <w:rsid w:val="00800BA0"/>
    <w:rsid w:val="00801374"/>
    <w:rsid w:val="008018FF"/>
    <w:rsid w:val="00801C22"/>
    <w:rsid w:val="00802274"/>
    <w:rsid w:val="00802913"/>
    <w:rsid w:val="00803067"/>
    <w:rsid w:val="00803E4C"/>
    <w:rsid w:val="00804010"/>
    <w:rsid w:val="008041DE"/>
    <w:rsid w:val="00804204"/>
    <w:rsid w:val="0080422E"/>
    <w:rsid w:val="0080481F"/>
    <w:rsid w:val="00804D75"/>
    <w:rsid w:val="00804FDB"/>
    <w:rsid w:val="00805F05"/>
    <w:rsid w:val="0080619F"/>
    <w:rsid w:val="0080634C"/>
    <w:rsid w:val="008064B2"/>
    <w:rsid w:val="008067A1"/>
    <w:rsid w:val="00806AAC"/>
    <w:rsid w:val="00806FC9"/>
    <w:rsid w:val="00806FF8"/>
    <w:rsid w:val="008072D8"/>
    <w:rsid w:val="008076B5"/>
    <w:rsid w:val="00807AE2"/>
    <w:rsid w:val="00807C60"/>
    <w:rsid w:val="0081108A"/>
    <w:rsid w:val="00811A7E"/>
    <w:rsid w:val="00811EDB"/>
    <w:rsid w:val="008126C5"/>
    <w:rsid w:val="00812829"/>
    <w:rsid w:val="0081364C"/>
    <w:rsid w:val="00813927"/>
    <w:rsid w:val="00813B63"/>
    <w:rsid w:val="00813E35"/>
    <w:rsid w:val="00813F6A"/>
    <w:rsid w:val="0081409E"/>
    <w:rsid w:val="0081414D"/>
    <w:rsid w:val="00814E6B"/>
    <w:rsid w:val="00815095"/>
    <w:rsid w:val="00815104"/>
    <w:rsid w:val="008151CE"/>
    <w:rsid w:val="008157AC"/>
    <w:rsid w:val="008158FC"/>
    <w:rsid w:val="00815944"/>
    <w:rsid w:val="008159D3"/>
    <w:rsid w:val="00815AFF"/>
    <w:rsid w:val="00816041"/>
    <w:rsid w:val="00816700"/>
    <w:rsid w:val="008167A0"/>
    <w:rsid w:val="00816F72"/>
    <w:rsid w:val="0081723A"/>
    <w:rsid w:val="00817677"/>
    <w:rsid w:val="00817DD6"/>
    <w:rsid w:val="00817E3D"/>
    <w:rsid w:val="008202C6"/>
    <w:rsid w:val="00821A1E"/>
    <w:rsid w:val="00821ADD"/>
    <w:rsid w:val="00821D40"/>
    <w:rsid w:val="00821F07"/>
    <w:rsid w:val="00821F2F"/>
    <w:rsid w:val="008220F9"/>
    <w:rsid w:val="00822131"/>
    <w:rsid w:val="00822515"/>
    <w:rsid w:val="008228A7"/>
    <w:rsid w:val="008230C3"/>
    <w:rsid w:val="0082331F"/>
    <w:rsid w:val="008235B9"/>
    <w:rsid w:val="008238CD"/>
    <w:rsid w:val="00823C48"/>
    <w:rsid w:val="00823E0D"/>
    <w:rsid w:val="0082451B"/>
    <w:rsid w:val="008246AD"/>
    <w:rsid w:val="008247C5"/>
    <w:rsid w:val="008248EF"/>
    <w:rsid w:val="0082491D"/>
    <w:rsid w:val="0082493E"/>
    <w:rsid w:val="00824942"/>
    <w:rsid w:val="00824BE2"/>
    <w:rsid w:val="00825AED"/>
    <w:rsid w:val="00825D73"/>
    <w:rsid w:val="00826147"/>
    <w:rsid w:val="00826282"/>
    <w:rsid w:val="008264A3"/>
    <w:rsid w:val="008269CA"/>
    <w:rsid w:val="00826BCD"/>
    <w:rsid w:val="00827741"/>
    <w:rsid w:val="00827E9E"/>
    <w:rsid w:val="008309DA"/>
    <w:rsid w:val="00830B7F"/>
    <w:rsid w:val="00831466"/>
    <w:rsid w:val="00831A02"/>
    <w:rsid w:val="00831B00"/>
    <w:rsid w:val="00832046"/>
    <w:rsid w:val="00832336"/>
    <w:rsid w:val="00832518"/>
    <w:rsid w:val="00833C7B"/>
    <w:rsid w:val="00833E05"/>
    <w:rsid w:val="008345B3"/>
    <w:rsid w:val="00834943"/>
    <w:rsid w:val="00834F2B"/>
    <w:rsid w:val="00835274"/>
    <w:rsid w:val="008352E8"/>
    <w:rsid w:val="00835540"/>
    <w:rsid w:val="00835BED"/>
    <w:rsid w:val="008364BB"/>
    <w:rsid w:val="00836904"/>
    <w:rsid w:val="00836D9A"/>
    <w:rsid w:val="00836F3D"/>
    <w:rsid w:val="0083734F"/>
    <w:rsid w:val="00837823"/>
    <w:rsid w:val="008379E8"/>
    <w:rsid w:val="00837BA0"/>
    <w:rsid w:val="00837F3B"/>
    <w:rsid w:val="008402D2"/>
    <w:rsid w:val="008408AE"/>
    <w:rsid w:val="00841D26"/>
    <w:rsid w:val="00841E85"/>
    <w:rsid w:val="00841EB7"/>
    <w:rsid w:val="008422C8"/>
    <w:rsid w:val="0084286D"/>
    <w:rsid w:val="00842AEC"/>
    <w:rsid w:val="0084302F"/>
    <w:rsid w:val="0084328F"/>
    <w:rsid w:val="00843368"/>
    <w:rsid w:val="0084345E"/>
    <w:rsid w:val="008434E7"/>
    <w:rsid w:val="008435A9"/>
    <w:rsid w:val="0084373A"/>
    <w:rsid w:val="00843BA7"/>
    <w:rsid w:val="0084417A"/>
    <w:rsid w:val="00844860"/>
    <w:rsid w:val="00844DCD"/>
    <w:rsid w:val="00845A00"/>
    <w:rsid w:val="00845C55"/>
    <w:rsid w:val="0084654F"/>
    <w:rsid w:val="00846775"/>
    <w:rsid w:val="00846E1B"/>
    <w:rsid w:val="008470BA"/>
    <w:rsid w:val="0084753F"/>
    <w:rsid w:val="0084760C"/>
    <w:rsid w:val="00850BE8"/>
    <w:rsid w:val="00851111"/>
    <w:rsid w:val="00851315"/>
    <w:rsid w:val="00851480"/>
    <w:rsid w:val="008517FA"/>
    <w:rsid w:val="00851F3F"/>
    <w:rsid w:val="0085232B"/>
    <w:rsid w:val="008526AF"/>
    <w:rsid w:val="00852AC1"/>
    <w:rsid w:val="00852EEF"/>
    <w:rsid w:val="008532B3"/>
    <w:rsid w:val="008538A1"/>
    <w:rsid w:val="00853B14"/>
    <w:rsid w:val="00853BB2"/>
    <w:rsid w:val="00853DA9"/>
    <w:rsid w:val="0085437F"/>
    <w:rsid w:val="00854D7C"/>
    <w:rsid w:val="00855286"/>
    <w:rsid w:val="0085571C"/>
    <w:rsid w:val="0085582D"/>
    <w:rsid w:val="00856563"/>
    <w:rsid w:val="0085666F"/>
    <w:rsid w:val="0085685E"/>
    <w:rsid w:val="00856894"/>
    <w:rsid w:val="008569FA"/>
    <w:rsid w:val="00856D39"/>
    <w:rsid w:val="00856FFD"/>
    <w:rsid w:val="00857687"/>
    <w:rsid w:val="00857D40"/>
    <w:rsid w:val="0086039B"/>
    <w:rsid w:val="00861190"/>
    <w:rsid w:val="00861734"/>
    <w:rsid w:val="008617D4"/>
    <w:rsid w:val="00861A2E"/>
    <w:rsid w:val="00862900"/>
    <w:rsid w:val="00862A4D"/>
    <w:rsid w:val="00862CEB"/>
    <w:rsid w:val="00862D54"/>
    <w:rsid w:val="00862DE5"/>
    <w:rsid w:val="00862E61"/>
    <w:rsid w:val="0086310D"/>
    <w:rsid w:val="008631CA"/>
    <w:rsid w:val="00863546"/>
    <w:rsid w:val="00863C8F"/>
    <w:rsid w:val="00863CD1"/>
    <w:rsid w:val="00863FE4"/>
    <w:rsid w:val="0086427C"/>
    <w:rsid w:val="00864B10"/>
    <w:rsid w:val="00865E7D"/>
    <w:rsid w:val="0086655E"/>
    <w:rsid w:val="00866D60"/>
    <w:rsid w:val="00866F77"/>
    <w:rsid w:val="00867122"/>
    <w:rsid w:val="008674C3"/>
    <w:rsid w:val="00870220"/>
    <w:rsid w:val="008706B6"/>
    <w:rsid w:val="008706D3"/>
    <w:rsid w:val="008707BC"/>
    <w:rsid w:val="00870865"/>
    <w:rsid w:val="0087090D"/>
    <w:rsid w:val="00870EFD"/>
    <w:rsid w:val="008719F3"/>
    <w:rsid w:val="00871C39"/>
    <w:rsid w:val="00871FBC"/>
    <w:rsid w:val="00872231"/>
    <w:rsid w:val="00872BC1"/>
    <w:rsid w:val="0087314E"/>
    <w:rsid w:val="00873354"/>
    <w:rsid w:val="00873497"/>
    <w:rsid w:val="008736E0"/>
    <w:rsid w:val="0087397A"/>
    <w:rsid w:val="00873AF1"/>
    <w:rsid w:val="00873BF8"/>
    <w:rsid w:val="00873DCA"/>
    <w:rsid w:val="0087422C"/>
    <w:rsid w:val="00874302"/>
    <w:rsid w:val="008748D4"/>
    <w:rsid w:val="00874B4A"/>
    <w:rsid w:val="00874CE7"/>
    <w:rsid w:val="00874D76"/>
    <w:rsid w:val="00874E03"/>
    <w:rsid w:val="0087514A"/>
    <w:rsid w:val="008751F1"/>
    <w:rsid w:val="00875BFF"/>
    <w:rsid w:val="00875C52"/>
    <w:rsid w:val="00875E31"/>
    <w:rsid w:val="00876064"/>
    <w:rsid w:val="00877631"/>
    <w:rsid w:val="00877C7C"/>
    <w:rsid w:val="00877FE5"/>
    <w:rsid w:val="008804C1"/>
    <w:rsid w:val="0088066F"/>
    <w:rsid w:val="008809AB"/>
    <w:rsid w:val="00880BF5"/>
    <w:rsid w:val="00881A32"/>
    <w:rsid w:val="00881AE2"/>
    <w:rsid w:val="00881C5D"/>
    <w:rsid w:val="00881DF9"/>
    <w:rsid w:val="00881E8D"/>
    <w:rsid w:val="008823F3"/>
    <w:rsid w:val="00882437"/>
    <w:rsid w:val="0088246F"/>
    <w:rsid w:val="0088257C"/>
    <w:rsid w:val="00883DC8"/>
    <w:rsid w:val="00884C79"/>
    <w:rsid w:val="00884DC0"/>
    <w:rsid w:val="008855F1"/>
    <w:rsid w:val="00885987"/>
    <w:rsid w:val="00885A0B"/>
    <w:rsid w:val="00885DE2"/>
    <w:rsid w:val="00886349"/>
    <w:rsid w:val="0088678B"/>
    <w:rsid w:val="00886C5A"/>
    <w:rsid w:val="00886D98"/>
    <w:rsid w:val="00886EBD"/>
    <w:rsid w:val="00887031"/>
    <w:rsid w:val="008873A1"/>
    <w:rsid w:val="00887411"/>
    <w:rsid w:val="00887418"/>
    <w:rsid w:val="00887E97"/>
    <w:rsid w:val="008905B9"/>
    <w:rsid w:val="00890DEF"/>
    <w:rsid w:val="0089121F"/>
    <w:rsid w:val="0089122D"/>
    <w:rsid w:val="00891A54"/>
    <w:rsid w:val="00891DC5"/>
    <w:rsid w:val="00892564"/>
    <w:rsid w:val="008930EC"/>
    <w:rsid w:val="008933E7"/>
    <w:rsid w:val="0089343E"/>
    <w:rsid w:val="008934E7"/>
    <w:rsid w:val="00894945"/>
    <w:rsid w:val="00894A05"/>
    <w:rsid w:val="00894C77"/>
    <w:rsid w:val="008951D1"/>
    <w:rsid w:val="0089569A"/>
    <w:rsid w:val="00895A65"/>
    <w:rsid w:val="00895C63"/>
    <w:rsid w:val="00895D99"/>
    <w:rsid w:val="00896837"/>
    <w:rsid w:val="00896AA2"/>
    <w:rsid w:val="00897267"/>
    <w:rsid w:val="0089798F"/>
    <w:rsid w:val="00897E92"/>
    <w:rsid w:val="008A069F"/>
    <w:rsid w:val="008A0A66"/>
    <w:rsid w:val="008A0F21"/>
    <w:rsid w:val="008A1591"/>
    <w:rsid w:val="008A1669"/>
    <w:rsid w:val="008A167A"/>
    <w:rsid w:val="008A189B"/>
    <w:rsid w:val="008A1A82"/>
    <w:rsid w:val="008A1AA2"/>
    <w:rsid w:val="008A2BB1"/>
    <w:rsid w:val="008A2C31"/>
    <w:rsid w:val="008A2C37"/>
    <w:rsid w:val="008A3159"/>
    <w:rsid w:val="008A3429"/>
    <w:rsid w:val="008A34AD"/>
    <w:rsid w:val="008A392D"/>
    <w:rsid w:val="008A4680"/>
    <w:rsid w:val="008A4801"/>
    <w:rsid w:val="008A4C4F"/>
    <w:rsid w:val="008A5580"/>
    <w:rsid w:val="008A579B"/>
    <w:rsid w:val="008A5B5D"/>
    <w:rsid w:val="008A5E65"/>
    <w:rsid w:val="008A5F6B"/>
    <w:rsid w:val="008A60C1"/>
    <w:rsid w:val="008A6816"/>
    <w:rsid w:val="008A687B"/>
    <w:rsid w:val="008A6C4E"/>
    <w:rsid w:val="008A6D2B"/>
    <w:rsid w:val="008A7058"/>
    <w:rsid w:val="008A754C"/>
    <w:rsid w:val="008A7C53"/>
    <w:rsid w:val="008B01D9"/>
    <w:rsid w:val="008B0201"/>
    <w:rsid w:val="008B0335"/>
    <w:rsid w:val="008B09B7"/>
    <w:rsid w:val="008B0AD0"/>
    <w:rsid w:val="008B0DE4"/>
    <w:rsid w:val="008B187D"/>
    <w:rsid w:val="008B1C38"/>
    <w:rsid w:val="008B1EF0"/>
    <w:rsid w:val="008B2225"/>
    <w:rsid w:val="008B2762"/>
    <w:rsid w:val="008B2E75"/>
    <w:rsid w:val="008B2F30"/>
    <w:rsid w:val="008B3096"/>
    <w:rsid w:val="008B3283"/>
    <w:rsid w:val="008B3A56"/>
    <w:rsid w:val="008B3A70"/>
    <w:rsid w:val="008B4407"/>
    <w:rsid w:val="008B44B9"/>
    <w:rsid w:val="008B660F"/>
    <w:rsid w:val="008B6DB3"/>
    <w:rsid w:val="008B7487"/>
    <w:rsid w:val="008B7B85"/>
    <w:rsid w:val="008C01CA"/>
    <w:rsid w:val="008C1322"/>
    <w:rsid w:val="008C1806"/>
    <w:rsid w:val="008C18FC"/>
    <w:rsid w:val="008C2001"/>
    <w:rsid w:val="008C2014"/>
    <w:rsid w:val="008C21A7"/>
    <w:rsid w:val="008C236F"/>
    <w:rsid w:val="008C2518"/>
    <w:rsid w:val="008C2701"/>
    <w:rsid w:val="008C2ADF"/>
    <w:rsid w:val="008C2D1D"/>
    <w:rsid w:val="008C35C7"/>
    <w:rsid w:val="008C35D5"/>
    <w:rsid w:val="008C38E9"/>
    <w:rsid w:val="008C3A11"/>
    <w:rsid w:val="008C3E42"/>
    <w:rsid w:val="008C4233"/>
    <w:rsid w:val="008C4AAE"/>
    <w:rsid w:val="008C5216"/>
    <w:rsid w:val="008C56DD"/>
    <w:rsid w:val="008C57F6"/>
    <w:rsid w:val="008C5A8B"/>
    <w:rsid w:val="008C5E71"/>
    <w:rsid w:val="008C60E3"/>
    <w:rsid w:val="008C618A"/>
    <w:rsid w:val="008C6581"/>
    <w:rsid w:val="008C67BE"/>
    <w:rsid w:val="008C6862"/>
    <w:rsid w:val="008C6B94"/>
    <w:rsid w:val="008C6FB5"/>
    <w:rsid w:val="008C7499"/>
    <w:rsid w:val="008C76A4"/>
    <w:rsid w:val="008C76A6"/>
    <w:rsid w:val="008C7EEB"/>
    <w:rsid w:val="008D0189"/>
    <w:rsid w:val="008D02BC"/>
    <w:rsid w:val="008D0908"/>
    <w:rsid w:val="008D0BE9"/>
    <w:rsid w:val="008D0CCD"/>
    <w:rsid w:val="008D10DA"/>
    <w:rsid w:val="008D1381"/>
    <w:rsid w:val="008D17C3"/>
    <w:rsid w:val="008D19F7"/>
    <w:rsid w:val="008D1E99"/>
    <w:rsid w:val="008D23C5"/>
    <w:rsid w:val="008D2630"/>
    <w:rsid w:val="008D2B63"/>
    <w:rsid w:val="008D2E90"/>
    <w:rsid w:val="008D36D2"/>
    <w:rsid w:val="008D3AFF"/>
    <w:rsid w:val="008D3C3A"/>
    <w:rsid w:val="008D3CD6"/>
    <w:rsid w:val="008D4151"/>
    <w:rsid w:val="008D46C0"/>
    <w:rsid w:val="008D48DA"/>
    <w:rsid w:val="008D4947"/>
    <w:rsid w:val="008D4A05"/>
    <w:rsid w:val="008D4C14"/>
    <w:rsid w:val="008D5865"/>
    <w:rsid w:val="008D5931"/>
    <w:rsid w:val="008D5C4C"/>
    <w:rsid w:val="008D61D1"/>
    <w:rsid w:val="008D6966"/>
    <w:rsid w:val="008D6A16"/>
    <w:rsid w:val="008D6B00"/>
    <w:rsid w:val="008D6D2F"/>
    <w:rsid w:val="008D7B94"/>
    <w:rsid w:val="008D7C2F"/>
    <w:rsid w:val="008D7D89"/>
    <w:rsid w:val="008D7E5B"/>
    <w:rsid w:val="008E062C"/>
    <w:rsid w:val="008E0929"/>
    <w:rsid w:val="008E0A95"/>
    <w:rsid w:val="008E0BA8"/>
    <w:rsid w:val="008E18C0"/>
    <w:rsid w:val="008E1ACF"/>
    <w:rsid w:val="008E2262"/>
    <w:rsid w:val="008E22E5"/>
    <w:rsid w:val="008E266F"/>
    <w:rsid w:val="008E2BDD"/>
    <w:rsid w:val="008E33D7"/>
    <w:rsid w:val="008E35EB"/>
    <w:rsid w:val="008E37EA"/>
    <w:rsid w:val="008E3B94"/>
    <w:rsid w:val="008E3ED3"/>
    <w:rsid w:val="008E4318"/>
    <w:rsid w:val="008E4F0C"/>
    <w:rsid w:val="008E539B"/>
    <w:rsid w:val="008E551F"/>
    <w:rsid w:val="008E5673"/>
    <w:rsid w:val="008E57FF"/>
    <w:rsid w:val="008E5D9C"/>
    <w:rsid w:val="008E6C9B"/>
    <w:rsid w:val="008E753B"/>
    <w:rsid w:val="008E782C"/>
    <w:rsid w:val="008E7956"/>
    <w:rsid w:val="008E7D85"/>
    <w:rsid w:val="008E7E35"/>
    <w:rsid w:val="008F06F2"/>
    <w:rsid w:val="008F110C"/>
    <w:rsid w:val="008F157C"/>
    <w:rsid w:val="008F15D5"/>
    <w:rsid w:val="008F1BCC"/>
    <w:rsid w:val="008F1D14"/>
    <w:rsid w:val="008F23AE"/>
    <w:rsid w:val="008F23D1"/>
    <w:rsid w:val="008F2E3B"/>
    <w:rsid w:val="008F300E"/>
    <w:rsid w:val="008F3192"/>
    <w:rsid w:val="008F31C2"/>
    <w:rsid w:val="008F337E"/>
    <w:rsid w:val="008F3EB8"/>
    <w:rsid w:val="008F3FB0"/>
    <w:rsid w:val="008F44EB"/>
    <w:rsid w:val="008F4616"/>
    <w:rsid w:val="008F4C96"/>
    <w:rsid w:val="008F5310"/>
    <w:rsid w:val="008F5A05"/>
    <w:rsid w:val="008F60A3"/>
    <w:rsid w:val="008F60F8"/>
    <w:rsid w:val="008F611B"/>
    <w:rsid w:val="008F6231"/>
    <w:rsid w:val="008F6973"/>
    <w:rsid w:val="008F69CD"/>
    <w:rsid w:val="008F6C93"/>
    <w:rsid w:val="008F7A3A"/>
    <w:rsid w:val="008F7C77"/>
    <w:rsid w:val="008F7F84"/>
    <w:rsid w:val="008F7FB7"/>
    <w:rsid w:val="009000FA"/>
    <w:rsid w:val="0090031B"/>
    <w:rsid w:val="00900BC4"/>
    <w:rsid w:val="00900BC9"/>
    <w:rsid w:val="00900E30"/>
    <w:rsid w:val="0090130A"/>
    <w:rsid w:val="00901452"/>
    <w:rsid w:val="00901C7C"/>
    <w:rsid w:val="00902904"/>
    <w:rsid w:val="00902B0C"/>
    <w:rsid w:val="0090317D"/>
    <w:rsid w:val="009032AB"/>
    <w:rsid w:val="009032E9"/>
    <w:rsid w:val="009033DB"/>
    <w:rsid w:val="00903743"/>
    <w:rsid w:val="00903C35"/>
    <w:rsid w:val="00903E17"/>
    <w:rsid w:val="00903EED"/>
    <w:rsid w:val="00904933"/>
    <w:rsid w:val="00904A9A"/>
    <w:rsid w:val="00905523"/>
    <w:rsid w:val="00905AB7"/>
    <w:rsid w:val="00905B9A"/>
    <w:rsid w:val="00905E3A"/>
    <w:rsid w:val="00906311"/>
    <w:rsid w:val="0090676A"/>
    <w:rsid w:val="00906945"/>
    <w:rsid w:val="0090707A"/>
    <w:rsid w:val="0090716C"/>
    <w:rsid w:val="00907E2C"/>
    <w:rsid w:val="00907E2F"/>
    <w:rsid w:val="00910B49"/>
    <w:rsid w:val="00910CF7"/>
    <w:rsid w:val="00911007"/>
    <w:rsid w:val="009114A8"/>
    <w:rsid w:val="00911AC0"/>
    <w:rsid w:val="00912037"/>
    <w:rsid w:val="00912043"/>
    <w:rsid w:val="009122D5"/>
    <w:rsid w:val="00912465"/>
    <w:rsid w:val="00912AE8"/>
    <w:rsid w:val="00912AFD"/>
    <w:rsid w:val="009134B3"/>
    <w:rsid w:val="00913633"/>
    <w:rsid w:val="00913884"/>
    <w:rsid w:val="00913893"/>
    <w:rsid w:val="00913BAA"/>
    <w:rsid w:val="00914770"/>
    <w:rsid w:val="009149F4"/>
    <w:rsid w:val="00914A23"/>
    <w:rsid w:val="00914A85"/>
    <w:rsid w:val="00914EE4"/>
    <w:rsid w:val="0091592C"/>
    <w:rsid w:val="00915A0F"/>
    <w:rsid w:val="0091637B"/>
    <w:rsid w:val="009167D2"/>
    <w:rsid w:val="009168F1"/>
    <w:rsid w:val="00916A07"/>
    <w:rsid w:val="00916F1B"/>
    <w:rsid w:val="0091730B"/>
    <w:rsid w:val="00917A33"/>
    <w:rsid w:val="00917CA9"/>
    <w:rsid w:val="009203C6"/>
    <w:rsid w:val="009208E1"/>
    <w:rsid w:val="00920F12"/>
    <w:rsid w:val="00920F47"/>
    <w:rsid w:val="00920FD8"/>
    <w:rsid w:val="009211EB"/>
    <w:rsid w:val="00921747"/>
    <w:rsid w:val="009219B7"/>
    <w:rsid w:val="00922741"/>
    <w:rsid w:val="009228E1"/>
    <w:rsid w:val="00922A02"/>
    <w:rsid w:val="00922B36"/>
    <w:rsid w:val="009232F3"/>
    <w:rsid w:val="00923665"/>
    <w:rsid w:val="00923684"/>
    <w:rsid w:val="00923DCC"/>
    <w:rsid w:val="00923F15"/>
    <w:rsid w:val="00923F34"/>
    <w:rsid w:val="00924898"/>
    <w:rsid w:val="00924D53"/>
    <w:rsid w:val="00925C04"/>
    <w:rsid w:val="00925F07"/>
    <w:rsid w:val="00926304"/>
    <w:rsid w:val="009267E6"/>
    <w:rsid w:val="009267E7"/>
    <w:rsid w:val="009268C3"/>
    <w:rsid w:val="00926DD3"/>
    <w:rsid w:val="0092720B"/>
    <w:rsid w:val="009273B5"/>
    <w:rsid w:val="00927D0E"/>
    <w:rsid w:val="00927FDF"/>
    <w:rsid w:val="0093021F"/>
    <w:rsid w:val="009304FA"/>
    <w:rsid w:val="00930A10"/>
    <w:rsid w:val="00931122"/>
    <w:rsid w:val="0093125A"/>
    <w:rsid w:val="00931906"/>
    <w:rsid w:val="00932318"/>
    <w:rsid w:val="00932B37"/>
    <w:rsid w:val="00932F98"/>
    <w:rsid w:val="0093312C"/>
    <w:rsid w:val="0093342C"/>
    <w:rsid w:val="0093360A"/>
    <w:rsid w:val="009340B9"/>
    <w:rsid w:val="009340CB"/>
    <w:rsid w:val="009340FD"/>
    <w:rsid w:val="0093570A"/>
    <w:rsid w:val="00935946"/>
    <w:rsid w:val="00936482"/>
    <w:rsid w:val="0093689C"/>
    <w:rsid w:val="009368E6"/>
    <w:rsid w:val="00936A89"/>
    <w:rsid w:val="00936FFC"/>
    <w:rsid w:val="0093709F"/>
    <w:rsid w:val="00937F72"/>
    <w:rsid w:val="0094040A"/>
    <w:rsid w:val="00940924"/>
    <w:rsid w:val="00940C59"/>
    <w:rsid w:val="00940C70"/>
    <w:rsid w:val="00940C7A"/>
    <w:rsid w:val="00941737"/>
    <w:rsid w:val="00941AAE"/>
    <w:rsid w:val="00941B4A"/>
    <w:rsid w:val="00941D76"/>
    <w:rsid w:val="00941DB3"/>
    <w:rsid w:val="00941EC3"/>
    <w:rsid w:val="00941EF0"/>
    <w:rsid w:val="009420E4"/>
    <w:rsid w:val="009423CD"/>
    <w:rsid w:val="00942A78"/>
    <w:rsid w:val="00942B91"/>
    <w:rsid w:val="0094307F"/>
    <w:rsid w:val="00943198"/>
    <w:rsid w:val="00943599"/>
    <w:rsid w:val="00943632"/>
    <w:rsid w:val="00943AC0"/>
    <w:rsid w:val="00943CE2"/>
    <w:rsid w:val="00943EA4"/>
    <w:rsid w:val="009446D8"/>
    <w:rsid w:val="00944802"/>
    <w:rsid w:val="009448A5"/>
    <w:rsid w:val="00944990"/>
    <w:rsid w:val="00944B99"/>
    <w:rsid w:val="00944BA9"/>
    <w:rsid w:val="00944E38"/>
    <w:rsid w:val="00944EEE"/>
    <w:rsid w:val="00945108"/>
    <w:rsid w:val="00945DBF"/>
    <w:rsid w:val="00946097"/>
    <w:rsid w:val="00946E67"/>
    <w:rsid w:val="00947361"/>
    <w:rsid w:val="009473CC"/>
    <w:rsid w:val="00947527"/>
    <w:rsid w:val="00947779"/>
    <w:rsid w:val="00947ADA"/>
    <w:rsid w:val="00947D79"/>
    <w:rsid w:val="009506A5"/>
    <w:rsid w:val="00950E45"/>
    <w:rsid w:val="009514AF"/>
    <w:rsid w:val="009514B9"/>
    <w:rsid w:val="0095274D"/>
    <w:rsid w:val="00952B55"/>
    <w:rsid w:val="00952CFF"/>
    <w:rsid w:val="0095323E"/>
    <w:rsid w:val="0095336B"/>
    <w:rsid w:val="00953926"/>
    <w:rsid w:val="00953C7B"/>
    <w:rsid w:val="00953D3F"/>
    <w:rsid w:val="00953DAE"/>
    <w:rsid w:val="00954151"/>
    <w:rsid w:val="009545B6"/>
    <w:rsid w:val="00954CF1"/>
    <w:rsid w:val="00954E54"/>
    <w:rsid w:val="00955010"/>
    <w:rsid w:val="00955AA2"/>
    <w:rsid w:val="00955B13"/>
    <w:rsid w:val="00956243"/>
    <w:rsid w:val="0095696C"/>
    <w:rsid w:val="00956BF9"/>
    <w:rsid w:val="00957055"/>
    <w:rsid w:val="00957436"/>
    <w:rsid w:val="00957DAD"/>
    <w:rsid w:val="0096039E"/>
    <w:rsid w:val="00960757"/>
    <w:rsid w:val="00960DE9"/>
    <w:rsid w:val="00961316"/>
    <w:rsid w:val="00961907"/>
    <w:rsid w:val="00961E41"/>
    <w:rsid w:val="00961E82"/>
    <w:rsid w:val="0096245F"/>
    <w:rsid w:val="00962E2B"/>
    <w:rsid w:val="00962F58"/>
    <w:rsid w:val="009636A4"/>
    <w:rsid w:val="00964E8B"/>
    <w:rsid w:val="00964FC3"/>
    <w:rsid w:val="009660FE"/>
    <w:rsid w:val="009666F4"/>
    <w:rsid w:val="00966849"/>
    <w:rsid w:val="00966EF6"/>
    <w:rsid w:val="009671A5"/>
    <w:rsid w:val="0096747B"/>
    <w:rsid w:val="00970244"/>
    <w:rsid w:val="00970729"/>
    <w:rsid w:val="0097073C"/>
    <w:rsid w:val="0097086B"/>
    <w:rsid w:val="00971381"/>
    <w:rsid w:val="009715D6"/>
    <w:rsid w:val="00971973"/>
    <w:rsid w:val="00971D69"/>
    <w:rsid w:val="00971E5B"/>
    <w:rsid w:val="00971FF5"/>
    <w:rsid w:val="00973097"/>
    <w:rsid w:val="00973348"/>
    <w:rsid w:val="009744B7"/>
    <w:rsid w:val="0097454B"/>
    <w:rsid w:val="0097467A"/>
    <w:rsid w:val="0097470B"/>
    <w:rsid w:val="00974D6D"/>
    <w:rsid w:val="00974FCA"/>
    <w:rsid w:val="00975AFF"/>
    <w:rsid w:val="00975DBB"/>
    <w:rsid w:val="0097624F"/>
    <w:rsid w:val="00976490"/>
    <w:rsid w:val="0097650F"/>
    <w:rsid w:val="00976E5A"/>
    <w:rsid w:val="00976F35"/>
    <w:rsid w:val="00977F88"/>
    <w:rsid w:val="009808BD"/>
    <w:rsid w:val="00980C56"/>
    <w:rsid w:val="00980FD1"/>
    <w:rsid w:val="009812DC"/>
    <w:rsid w:val="00981411"/>
    <w:rsid w:val="00981AF3"/>
    <w:rsid w:val="00982AB9"/>
    <w:rsid w:val="00982ADE"/>
    <w:rsid w:val="00982F26"/>
    <w:rsid w:val="00983893"/>
    <w:rsid w:val="00983A67"/>
    <w:rsid w:val="00983B47"/>
    <w:rsid w:val="00984890"/>
    <w:rsid w:val="00984A2E"/>
    <w:rsid w:val="00984AB2"/>
    <w:rsid w:val="00984D18"/>
    <w:rsid w:val="00984F94"/>
    <w:rsid w:val="009851E6"/>
    <w:rsid w:val="00985331"/>
    <w:rsid w:val="009855FC"/>
    <w:rsid w:val="009856B3"/>
    <w:rsid w:val="00985785"/>
    <w:rsid w:val="009859D5"/>
    <w:rsid w:val="009859E6"/>
    <w:rsid w:val="00985CBE"/>
    <w:rsid w:val="009862DF"/>
    <w:rsid w:val="00986E4B"/>
    <w:rsid w:val="00986EE4"/>
    <w:rsid w:val="009871BB"/>
    <w:rsid w:val="00987E30"/>
    <w:rsid w:val="00990645"/>
    <w:rsid w:val="0099078D"/>
    <w:rsid w:val="0099152D"/>
    <w:rsid w:val="00991738"/>
    <w:rsid w:val="00991A9F"/>
    <w:rsid w:val="00991FBD"/>
    <w:rsid w:val="0099202C"/>
    <w:rsid w:val="009922B7"/>
    <w:rsid w:val="00992798"/>
    <w:rsid w:val="0099282B"/>
    <w:rsid w:val="00992AA5"/>
    <w:rsid w:val="00992C21"/>
    <w:rsid w:val="00993D72"/>
    <w:rsid w:val="00994202"/>
    <w:rsid w:val="00994280"/>
    <w:rsid w:val="00994CA1"/>
    <w:rsid w:val="0099552C"/>
    <w:rsid w:val="00995792"/>
    <w:rsid w:val="00995F31"/>
    <w:rsid w:val="00996097"/>
    <w:rsid w:val="00996173"/>
    <w:rsid w:val="009964EC"/>
    <w:rsid w:val="009973D9"/>
    <w:rsid w:val="0099741E"/>
    <w:rsid w:val="00997805"/>
    <w:rsid w:val="00997808"/>
    <w:rsid w:val="00997850"/>
    <w:rsid w:val="009A0652"/>
    <w:rsid w:val="009A0889"/>
    <w:rsid w:val="009A11DD"/>
    <w:rsid w:val="009A158E"/>
    <w:rsid w:val="009A161B"/>
    <w:rsid w:val="009A1AE6"/>
    <w:rsid w:val="009A1C16"/>
    <w:rsid w:val="009A1F1F"/>
    <w:rsid w:val="009A23F6"/>
    <w:rsid w:val="009A254A"/>
    <w:rsid w:val="009A28BD"/>
    <w:rsid w:val="009A2DB0"/>
    <w:rsid w:val="009A2F22"/>
    <w:rsid w:val="009A30A2"/>
    <w:rsid w:val="009A33E5"/>
    <w:rsid w:val="009A36A4"/>
    <w:rsid w:val="009A47BA"/>
    <w:rsid w:val="009A497F"/>
    <w:rsid w:val="009A4C6D"/>
    <w:rsid w:val="009A4ED5"/>
    <w:rsid w:val="009A5055"/>
    <w:rsid w:val="009A50F9"/>
    <w:rsid w:val="009A5131"/>
    <w:rsid w:val="009A5549"/>
    <w:rsid w:val="009A56B7"/>
    <w:rsid w:val="009A5EA4"/>
    <w:rsid w:val="009A61D5"/>
    <w:rsid w:val="009A68C2"/>
    <w:rsid w:val="009A6D22"/>
    <w:rsid w:val="009A7437"/>
    <w:rsid w:val="009A7A18"/>
    <w:rsid w:val="009A7F19"/>
    <w:rsid w:val="009B04C2"/>
    <w:rsid w:val="009B04F1"/>
    <w:rsid w:val="009B06E7"/>
    <w:rsid w:val="009B08D4"/>
    <w:rsid w:val="009B0AE6"/>
    <w:rsid w:val="009B1515"/>
    <w:rsid w:val="009B1B4D"/>
    <w:rsid w:val="009B1C91"/>
    <w:rsid w:val="009B2216"/>
    <w:rsid w:val="009B2863"/>
    <w:rsid w:val="009B2FCC"/>
    <w:rsid w:val="009B3608"/>
    <w:rsid w:val="009B37F5"/>
    <w:rsid w:val="009B3AA3"/>
    <w:rsid w:val="009B4241"/>
    <w:rsid w:val="009B42EB"/>
    <w:rsid w:val="009B4321"/>
    <w:rsid w:val="009B4743"/>
    <w:rsid w:val="009B4DA1"/>
    <w:rsid w:val="009B50BD"/>
    <w:rsid w:val="009B5A08"/>
    <w:rsid w:val="009B5A1A"/>
    <w:rsid w:val="009B5BF5"/>
    <w:rsid w:val="009B5EB4"/>
    <w:rsid w:val="009B5F03"/>
    <w:rsid w:val="009B5FA2"/>
    <w:rsid w:val="009B6270"/>
    <w:rsid w:val="009B6609"/>
    <w:rsid w:val="009B66AA"/>
    <w:rsid w:val="009B6849"/>
    <w:rsid w:val="009B6F14"/>
    <w:rsid w:val="009B77E9"/>
    <w:rsid w:val="009B7BBF"/>
    <w:rsid w:val="009C023F"/>
    <w:rsid w:val="009C0597"/>
    <w:rsid w:val="009C0B0A"/>
    <w:rsid w:val="009C0C6F"/>
    <w:rsid w:val="009C2457"/>
    <w:rsid w:val="009C28BB"/>
    <w:rsid w:val="009C2C19"/>
    <w:rsid w:val="009C310F"/>
    <w:rsid w:val="009C32C6"/>
    <w:rsid w:val="009C3590"/>
    <w:rsid w:val="009C3728"/>
    <w:rsid w:val="009C4126"/>
    <w:rsid w:val="009C412D"/>
    <w:rsid w:val="009C421D"/>
    <w:rsid w:val="009C44DB"/>
    <w:rsid w:val="009C49E4"/>
    <w:rsid w:val="009C4AC9"/>
    <w:rsid w:val="009C5039"/>
    <w:rsid w:val="009C527F"/>
    <w:rsid w:val="009C5A6D"/>
    <w:rsid w:val="009C5CAD"/>
    <w:rsid w:val="009C6026"/>
    <w:rsid w:val="009C6054"/>
    <w:rsid w:val="009C6352"/>
    <w:rsid w:val="009C66A3"/>
    <w:rsid w:val="009C6F40"/>
    <w:rsid w:val="009C7160"/>
    <w:rsid w:val="009C7164"/>
    <w:rsid w:val="009C75CC"/>
    <w:rsid w:val="009C7D82"/>
    <w:rsid w:val="009C7FC8"/>
    <w:rsid w:val="009D0128"/>
    <w:rsid w:val="009D0285"/>
    <w:rsid w:val="009D070A"/>
    <w:rsid w:val="009D0823"/>
    <w:rsid w:val="009D0C04"/>
    <w:rsid w:val="009D1E7A"/>
    <w:rsid w:val="009D1F50"/>
    <w:rsid w:val="009D2055"/>
    <w:rsid w:val="009D2068"/>
    <w:rsid w:val="009D22AA"/>
    <w:rsid w:val="009D2790"/>
    <w:rsid w:val="009D2974"/>
    <w:rsid w:val="009D2CEB"/>
    <w:rsid w:val="009D2DDD"/>
    <w:rsid w:val="009D307B"/>
    <w:rsid w:val="009D3291"/>
    <w:rsid w:val="009D32AA"/>
    <w:rsid w:val="009D344B"/>
    <w:rsid w:val="009D3C94"/>
    <w:rsid w:val="009D4ADB"/>
    <w:rsid w:val="009D4B30"/>
    <w:rsid w:val="009D5017"/>
    <w:rsid w:val="009D5160"/>
    <w:rsid w:val="009D5460"/>
    <w:rsid w:val="009D7825"/>
    <w:rsid w:val="009D7883"/>
    <w:rsid w:val="009D7F83"/>
    <w:rsid w:val="009D7F85"/>
    <w:rsid w:val="009E0034"/>
    <w:rsid w:val="009E013D"/>
    <w:rsid w:val="009E0BD2"/>
    <w:rsid w:val="009E0C05"/>
    <w:rsid w:val="009E0F4E"/>
    <w:rsid w:val="009E1149"/>
    <w:rsid w:val="009E12FA"/>
    <w:rsid w:val="009E219A"/>
    <w:rsid w:val="009E265F"/>
    <w:rsid w:val="009E2B4D"/>
    <w:rsid w:val="009E2DE0"/>
    <w:rsid w:val="009E3056"/>
    <w:rsid w:val="009E3534"/>
    <w:rsid w:val="009E44A5"/>
    <w:rsid w:val="009E46EB"/>
    <w:rsid w:val="009E48AE"/>
    <w:rsid w:val="009E4C52"/>
    <w:rsid w:val="009E4D5A"/>
    <w:rsid w:val="009E57DC"/>
    <w:rsid w:val="009E58F2"/>
    <w:rsid w:val="009E591F"/>
    <w:rsid w:val="009E6390"/>
    <w:rsid w:val="009E6745"/>
    <w:rsid w:val="009E6780"/>
    <w:rsid w:val="009E6C0F"/>
    <w:rsid w:val="009E6D69"/>
    <w:rsid w:val="009E6F15"/>
    <w:rsid w:val="009E72B5"/>
    <w:rsid w:val="009E742F"/>
    <w:rsid w:val="009E7EDB"/>
    <w:rsid w:val="009F0ACB"/>
    <w:rsid w:val="009F0C47"/>
    <w:rsid w:val="009F0E6A"/>
    <w:rsid w:val="009F11AA"/>
    <w:rsid w:val="009F126F"/>
    <w:rsid w:val="009F17A2"/>
    <w:rsid w:val="009F1F2D"/>
    <w:rsid w:val="009F202A"/>
    <w:rsid w:val="009F20A2"/>
    <w:rsid w:val="009F279E"/>
    <w:rsid w:val="009F27AD"/>
    <w:rsid w:val="009F299C"/>
    <w:rsid w:val="009F323E"/>
    <w:rsid w:val="009F334F"/>
    <w:rsid w:val="009F3713"/>
    <w:rsid w:val="009F37B3"/>
    <w:rsid w:val="009F38E7"/>
    <w:rsid w:val="009F3B50"/>
    <w:rsid w:val="009F3BB5"/>
    <w:rsid w:val="009F4368"/>
    <w:rsid w:val="009F521D"/>
    <w:rsid w:val="009F5249"/>
    <w:rsid w:val="009F5433"/>
    <w:rsid w:val="009F5C6D"/>
    <w:rsid w:val="009F5E68"/>
    <w:rsid w:val="009F5E7B"/>
    <w:rsid w:val="009F6763"/>
    <w:rsid w:val="009F6D05"/>
    <w:rsid w:val="009F6ED8"/>
    <w:rsid w:val="009F70BB"/>
    <w:rsid w:val="009F728C"/>
    <w:rsid w:val="009F7602"/>
    <w:rsid w:val="00A001C8"/>
    <w:rsid w:val="00A005B8"/>
    <w:rsid w:val="00A013E0"/>
    <w:rsid w:val="00A01CD5"/>
    <w:rsid w:val="00A01DD1"/>
    <w:rsid w:val="00A022DE"/>
    <w:rsid w:val="00A02979"/>
    <w:rsid w:val="00A030CE"/>
    <w:rsid w:val="00A03587"/>
    <w:rsid w:val="00A03C33"/>
    <w:rsid w:val="00A0408E"/>
    <w:rsid w:val="00A048BB"/>
    <w:rsid w:val="00A050E8"/>
    <w:rsid w:val="00A054CF"/>
    <w:rsid w:val="00A05876"/>
    <w:rsid w:val="00A058DA"/>
    <w:rsid w:val="00A05951"/>
    <w:rsid w:val="00A059F4"/>
    <w:rsid w:val="00A0637C"/>
    <w:rsid w:val="00A06EFD"/>
    <w:rsid w:val="00A100C9"/>
    <w:rsid w:val="00A10700"/>
    <w:rsid w:val="00A108D5"/>
    <w:rsid w:val="00A10C4D"/>
    <w:rsid w:val="00A10DC9"/>
    <w:rsid w:val="00A10E94"/>
    <w:rsid w:val="00A11293"/>
    <w:rsid w:val="00A11313"/>
    <w:rsid w:val="00A1186A"/>
    <w:rsid w:val="00A11B92"/>
    <w:rsid w:val="00A12165"/>
    <w:rsid w:val="00A121F3"/>
    <w:rsid w:val="00A12295"/>
    <w:rsid w:val="00A122C9"/>
    <w:rsid w:val="00A12337"/>
    <w:rsid w:val="00A12383"/>
    <w:rsid w:val="00A129C1"/>
    <w:rsid w:val="00A12B8E"/>
    <w:rsid w:val="00A13061"/>
    <w:rsid w:val="00A130AD"/>
    <w:rsid w:val="00A1311E"/>
    <w:rsid w:val="00A13396"/>
    <w:rsid w:val="00A1356E"/>
    <w:rsid w:val="00A1393E"/>
    <w:rsid w:val="00A1411E"/>
    <w:rsid w:val="00A14136"/>
    <w:rsid w:val="00A1422C"/>
    <w:rsid w:val="00A146A6"/>
    <w:rsid w:val="00A14C83"/>
    <w:rsid w:val="00A14E01"/>
    <w:rsid w:val="00A151BF"/>
    <w:rsid w:val="00A152BF"/>
    <w:rsid w:val="00A15CD1"/>
    <w:rsid w:val="00A15DB3"/>
    <w:rsid w:val="00A15DD0"/>
    <w:rsid w:val="00A165B8"/>
    <w:rsid w:val="00A165D9"/>
    <w:rsid w:val="00A16B13"/>
    <w:rsid w:val="00A16BAB"/>
    <w:rsid w:val="00A172F8"/>
    <w:rsid w:val="00A17E27"/>
    <w:rsid w:val="00A202BF"/>
    <w:rsid w:val="00A20B0C"/>
    <w:rsid w:val="00A20D18"/>
    <w:rsid w:val="00A20D9F"/>
    <w:rsid w:val="00A20DC1"/>
    <w:rsid w:val="00A210AE"/>
    <w:rsid w:val="00A210CF"/>
    <w:rsid w:val="00A2113A"/>
    <w:rsid w:val="00A21294"/>
    <w:rsid w:val="00A21537"/>
    <w:rsid w:val="00A22101"/>
    <w:rsid w:val="00A2231B"/>
    <w:rsid w:val="00A22467"/>
    <w:rsid w:val="00A22C27"/>
    <w:rsid w:val="00A22FE5"/>
    <w:rsid w:val="00A2333D"/>
    <w:rsid w:val="00A23447"/>
    <w:rsid w:val="00A23B5F"/>
    <w:rsid w:val="00A2424A"/>
    <w:rsid w:val="00A2468E"/>
    <w:rsid w:val="00A24BEE"/>
    <w:rsid w:val="00A25445"/>
    <w:rsid w:val="00A254CA"/>
    <w:rsid w:val="00A2597A"/>
    <w:rsid w:val="00A25A88"/>
    <w:rsid w:val="00A25B0C"/>
    <w:rsid w:val="00A25B88"/>
    <w:rsid w:val="00A25D26"/>
    <w:rsid w:val="00A260CA"/>
    <w:rsid w:val="00A263ED"/>
    <w:rsid w:val="00A2650D"/>
    <w:rsid w:val="00A26994"/>
    <w:rsid w:val="00A26C97"/>
    <w:rsid w:val="00A26F89"/>
    <w:rsid w:val="00A27A83"/>
    <w:rsid w:val="00A27AA2"/>
    <w:rsid w:val="00A302C1"/>
    <w:rsid w:val="00A309A7"/>
    <w:rsid w:val="00A309D9"/>
    <w:rsid w:val="00A30FDD"/>
    <w:rsid w:val="00A312C4"/>
    <w:rsid w:val="00A314D2"/>
    <w:rsid w:val="00A319F7"/>
    <w:rsid w:val="00A31A64"/>
    <w:rsid w:val="00A31AF9"/>
    <w:rsid w:val="00A31CA3"/>
    <w:rsid w:val="00A31CC1"/>
    <w:rsid w:val="00A32031"/>
    <w:rsid w:val="00A32295"/>
    <w:rsid w:val="00A32447"/>
    <w:rsid w:val="00A333E1"/>
    <w:rsid w:val="00A33985"/>
    <w:rsid w:val="00A33CAB"/>
    <w:rsid w:val="00A34478"/>
    <w:rsid w:val="00A34852"/>
    <w:rsid w:val="00A34D62"/>
    <w:rsid w:val="00A35652"/>
    <w:rsid w:val="00A35B62"/>
    <w:rsid w:val="00A3662F"/>
    <w:rsid w:val="00A36719"/>
    <w:rsid w:val="00A36AB9"/>
    <w:rsid w:val="00A36B9A"/>
    <w:rsid w:val="00A36C26"/>
    <w:rsid w:val="00A36D46"/>
    <w:rsid w:val="00A36EF9"/>
    <w:rsid w:val="00A379B6"/>
    <w:rsid w:val="00A40659"/>
    <w:rsid w:val="00A4074F"/>
    <w:rsid w:val="00A40DE4"/>
    <w:rsid w:val="00A40E22"/>
    <w:rsid w:val="00A4114F"/>
    <w:rsid w:val="00A414E2"/>
    <w:rsid w:val="00A414F8"/>
    <w:rsid w:val="00A417AD"/>
    <w:rsid w:val="00A420E3"/>
    <w:rsid w:val="00A422ED"/>
    <w:rsid w:val="00A424C1"/>
    <w:rsid w:val="00A425CC"/>
    <w:rsid w:val="00A4305F"/>
    <w:rsid w:val="00A4357A"/>
    <w:rsid w:val="00A43A49"/>
    <w:rsid w:val="00A4425F"/>
    <w:rsid w:val="00A4427F"/>
    <w:rsid w:val="00A44586"/>
    <w:rsid w:val="00A44AE4"/>
    <w:rsid w:val="00A44D6E"/>
    <w:rsid w:val="00A44E93"/>
    <w:rsid w:val="00A452EF"/>
    <w:rsid w:val="00A453DD"/>
    <w:rsid w:val="00A45430"/>
    <w:rsid w:val="00A455D0"/>
    <w:rsid w:val="00A4560C"/>
    <w:rsid w:val="00A45678"/>
    <w:rsid w:val="00A45814"/>
    <w:rsid w:val="00A459EF"/>
    <w:rsid w:val="00A45A00"/>
    <w:rsid w:val="00A45D72"/>
    <w:rsid w:val="00A4669D"/>
    <w:rsid w:val="00A46B9C"/>
    <w:rsid w:val="00A46E6B"/>
    <w:rsid w:val="00A47FD8"/>
    <w:rsid w:val="00A50342"/>
    <w:rsid w:val="00A50616"/>
    <w:rsid w:val="00A51050"/>
    <w:rsid w:val="00A51852"/>
    <w:rsid w:val="00A52051"/>
    <w:rsid w:val="00A52510"/>
    <w:rsid w:val="00A52946"/>
    <w:rsid w:val="00A52A10"/>
    <w:rsid w:val="00A52A7D"/>
    <w:rsid w:val="00A52B2F"/>
    <w:rsid w:val="00A53615"/>
    <w:rsid w:val="00A545D9"/>
    <w:rsid w:val="00A546CC"/>
    <w:rsid w:val="00A54732"/>
    <w:rsid w:val="00A54C33"/>
    <w:rsid w:val="00A55266"/>
    <w:rsid w:val="00A55917"/>
    <w:rsid w:val="00A55A16"/>
    <w:rsid w:val="00A55BED"/>
    <w:rsid w:val="00A55E38"/>
    <w:rsid w:val="00A564B3"/>
    <w:rsid w:val="00A56556"/>
    <w:rsid w:val="00A565A8"/>
    <w:rsid w:val="00A568CC"/>
    <w:rsid w:val="00A56AD6"/>
    <w:rsid w:val="00A56DD1"/>
    <w:rsid w:val="00A57254"/>
    <w:rsid w:val="00A57336"/>
    <w:rsid w:val="00A57792"/>
    <w:rsid w:val="00A57919"/>
    <w:rsid w:val="00A57CAF"/>
    <w:rsid w:val="00A57F52"/>
    <w:rsid w:val="00A6078D"/>
    <w:rsid w:val="00A60921"/>
    <w:rsid w:val="00A609AE"/>
    <w:rsid w:val="00A60F21"/>
    <w:rsid w:val="00A61094"/>
    <w:rsid w:val="00A612D8"/>
    <w:rsid w:val="00A613F0"/>
    <w:rsid w:val="00A6182C"/>
    <w:rsid w:val="00A623F3"/>
    <w:rsid w:val="00A6284C"/>
    <w:rsid w:val="00A6285F"/>
    <w:rsid w:val="00A6287B"/>
    <w:rsid w:val="00A62974"/>
    <w:rsid w:val="00A629F6"/>
    <w:rsid w:val="00A631B2"/>
    <w:rsid w:val="00A636BD"/>
    <w:rsid w:val="00A63847"/>
    <w:rsid w:val="00A63D83"/>
    <w:rsid w:val="00A63EBA"/>
    <w:rsid w:val="00A642E3"/>
    <w:rsid w:val="00A64395"/>
    <w:rsid w:val="00A64DCA"/>
    <w:rsid w:val="00A65597"/>
    <w:rsid w:val="00A66403"/>
    <w:rsid w:val="00A66631"/>
    <w:rsid w:val="00A66BC4"/>
    <w:rsid w:val="00A66E59"/>
    <w:rsid w:val="00A6719E"/>
    <w:rsid w:val="00A67267"/>
    <w:rsid w:val="00A6744A"/>
    <w:rsid w:val="00A675D9"/>
    <w:rsid w:val="00A678B5"/>
    <w:rsid w:val="00A679B3"/>
    <w:rsid w:val="00A704C8"/>
    <w:rsid w:val="00A70614"/>
    <w:rsid w:val="00A708DA"/>
    <w:rsid w:val="00A710A3"/>
    <w:rsid w:val="00A710DF"/>
    <w:rsid w:val="00A713F5"/>
    <w:rsid w:val="00A71569"/>
    <w:rsid w:val="00A71670"/>
    <w:rsid w:val="00A716C8"/>
    <w:rsid w:val="00A71B55"/>
    <w:rsid w:val="00A71DFE"/>
    <w:rsid w:val="00A720BE"/>
    <w:rsid w:val="00A728AC"/>
    <w:rsid w:val="00A72F08"/>
    <w:rsid w:val="00A72F16"/>
    <w:rsid w:val="00A73039"/>
    <w:rsid w:val="00A7332B"/>
    <w:rsid w:val="00A73383"/>
    <w:rsid w:val="00A7350A"/>
    <w:rsid w:val="00A73659"/>
    <w:rsid w:val="00A73AB6"/>
    <w:rsid w:val="00A73D35"/>
    <w:rsid w:val="00A73D68"/>
    <w:rsid w:val="00A73E64"/>
    <w:rsid w:val="00A7422C"/>
    <w:rsid w:val="00A74314"/>
    <w:rsid w:val="00A74709"/>
    <w:rsid w:val="00A7493F"/>
    <w:rsid w:val="00A74A54"/>
    <w:rsid w:val="00A74C1B"/>
    <w:rsid w:val="00A74EAE"/>
    <w:rsid w:val="00A75183"/>
    <w:rsid w:val="00A75683"/>
    <w:rsid w:val="00A7592B"/>
    <w:rsid w:val="00A75B7C"/>
    <w:rsid w:val="00A75F37"/>
    <w:rsid w:val="00A766A7"/>
    <w:rsid w:val="00A769BF"/>
    <w:rsid w:val="00A76D11"/>
    <w:rsid w:val="00A770C1"/>
    <w:rsid w:val="00A7764F"/>
    <w:rsid w:val="00A77835"/>
    <w:rsid w:val="00A819CD"/>
    <w:rsid w:val="00A81D1A"/>
    <w:rsid w:val="00A82051"/>
    <w:rsid w:val="00A823A0"/>
    <w:rsid w:val="00A8256B"/>
    <w:rsid w:val="00A827A7"/>
    <w:rsid w:val="00A8281E"/>
    <w:rsid w:val="00A82860"/>
    <w:rsid w:val="00A82991"/>
    <w:rsid w:val="00A82C62"/>
    <w:rsid w:val="00A82F27"/>
    <w:rsid w:val="00A8329A"/>
    <w:rsid w:val="00A833BA"/>
    <w:rsid w:val="00A83421"/>
    <w:rsid w:val="00A837A2"/>
    <w:rsid w:val="00A837D9"/>
    <w:rsid w:val="00A838B6"/>
    <w:rsid w:val="00A83B51"/>
    <w:rsid w:val="00A83F4A"/>
    <w:rsid w:val="00A8496E"/>
    <w:rsid w:val="00A84ADB"/>
    <w:rsid w:val="00A84B9B"/>
    <w:rsid w:val="00A84DD3"/>
    <w:rsid w:val="00A84F0B"/>
    <w:rsid w:val="00A8508F"/>
    <w:rsid w:val="00A851CA"/>
    <w:rsid w:val="00A853AC"/>
    <w:rsid w:val="00A85690"/>
    <w:rsid w:val="00A85739"/>
    <w:rsid w:val="00A85798"/>
    <w:rsid w:val="00A857E7"/>
    <w:rsid w:val="00A85944"/>
    <w:rsid w:val="00A859ED"/>
    <w:rsid w:val="00A860E5"/>
    <w:rsid w:val="00A8680B"/>
    <w:rsid w:val="00A86EEF"/>
    <w:rsid w:val="00A8788A"/>
    <w:rsid w:val="00A878AE"/>
    <w:rsid w:val="00A90556"/>
    <w:rsid w:val="00A90570"/>
    <w:rsid w:val="00A90945"/>
    <w:rsid w:val="00A90EB6"/>
    <w:rsid w:val="00A90F3D"/>
    <w:rsid w:val="00A91493"/>
    <w:rsid w:val="00A9193C"/>
    <w:rsid w:val="00A91BB8"/>
    <w:rsid w:val="00A91CA8"/>
    <w:rsid w:val="00A92890"/>
    <w:rsid w:val="00A92C1D"/>
    <w:rsid w:val="00A92F29"/>
    <w:rsid w:val="00A930D0"/>
    <w:rsid w:val="00A93220"/>
    <w:rsid w:val="00A93684"/>
    <w:rsid w:val="00A93B39"/>
    <w:rsid w:val="00A93F6A"/>
    <w:rsid w:val="00A9421E"/>
    <w:rsid w:val="00A9472A"/>
    <w:rsid w:val="00A94AE2"/>
    <w:rsid w:val="00A951E9"/>
    <w:rsid w:val="00A9594B"/>
    <w:rsid w:val="00A95E9F"/>
    <w:rsid w:val="00A965D3"/>
    <w:rsid w:val="00A96AD4"/>
    <w:rsid w:val="00A96C49"/>
    <w:rsid w:val="00A96D51"/>
    <w:rsid w:val="00A96E80"/>
    <w:rsid w:val="00A96F4A"/>
    <w:rsid w:val="00A97387"/>
    <w:rsid w:val="00A975E7"/>
    <w:rsid w:val="00A977DC"/>
    <w:rsid w:val="00AA03D2"/>
    <w:rsid w:val="00AA050E"/>
    <w:rsid w:val="00AA051F"/>
    <w:rsid w:val="00AA0C90"/>
    <w:rsid w:val="00AA10D1"/>
    <w:rsid w:val="00AA1773"/>
    <w:rsid w:val="00AA193E"/>
    <w:rsid w:val="00AA1B2B"/>
    <w:rsid w:val="00AA266D"/>
    <w:rsid w:val="00AA274C"/>
    <w:rsid w:val="00AA2A0D"/>
    <w:rsid w:val="00AA2AB9"/>
    <w:rsid w:val="00AA3B8C"/>
    <w:rsid w:val="00AA3EF1"/>
    <w:rsid w:val="00AA4001"/>
    <w:rsid w:val="00AA4A22"/>
    <w:rsid w:val="00AA4EE6"/>
    <w:rsid w:val="00AA59BB"/>
    <w:rsid w:val="00AA5E11"/>
    <w:rsid w:val="00AA62C5"/>
    <w:rsid w:val="00AA62C6"/>
    <w:rsid w:val="00AA62F7"/>
    <w:rsid w:val="00AA69EF"/>
    <w:rsid w:val="00AA7135"/>
    <w:rsid w:val="00AA7B4D"/>
    <w:rsid w:val="00AA7CDE"/>
    <w:rsid w:val="00AA7FB7"/>
    <w:rsid w:val="00AA7FBB"/>
    <w:rsid w:val="00AB04E5"/>
    <w:rsid w:val="00AB06E5"/>
    <w:rsid w:val="00AB0737"/>
    <w:rsid w:val="00AB1000"/>
    <w:rsid w:val="00AB1122"/>
    <w:rsid w:val="00AB1194"/>
    <w:rsid w:val="00AB11F4"/>
    <w:rsid w:val="00AB13DD"/>
    <w:rsid w:val="00AB140C"/>
    <w:rsid w:val="00AB14A4"/>
    <w:rsid w:val="00AB172C"/>
    <w:rsid w:val="00AB1762"/>
    <w:rsid w:val="00AB1EB5"/>
    <w:rsid w:val="00AB1FCF"/>
    <w:rsid w:val="00AB2FAD"/>
    <w:rsid w:val="00AB32A0"/>
    <w:rsid w:val="00AB3312"/>
    <w:rsid w:val="00AB37A8"/>
    <w:rsid w:val="00AB3853"/>
    <w:rsid w:val="00AB3E15"/>
    <w:rsid w:val="00AB40A0"/>
    <w:rsid w:val="00AB41C7"/>
    <w:rsid w:val="00AB460E"/>
    <w:rsid w:val="00AB494E"/>
    <w:rsid w:val="00AB4B90"/>
    <w:rsid w:val="00AB51B2"/>
    <w:rsid w:val="00AB539F"/>
    <w:rsid w:val="00AB58F6"/>
    <w:rsid w:val="00AB59DF"/>
    <w:rsid w:val="00AB5F35"/>
    <w:rsid w:val="00AB6156"/>
    <w:rsid w:val="00AB6E71"/>
    <w:rsid w:val="00AB728B"/>
    <w:rsid w:val="00AB7473"/>
    <w:rsid w:val="00AB7640"/>
    <w:rsid w:val="00AB7722"/>
    <w:rsid w:val="00AB787B"/>
    <w:rsid w:val="00AB7B0E"/>
    <w:rsid w:val="00AB7C73"/>
    <w:rsid w:val="00AC0032"/>
    <w:rsid w:val="00AC0261"/>
    <w:rsid w:val="00AC0859"/>
    <w:rsid w:val="00AC17FB"/>
    <w:rsid w:val="00AC18A4"/>
    <w:rsid w:val="00AC1E69"/>
    <w:rsid w:val="00AC20D7"/>
    <w:rsid w:val="00AC2DC4"/>
    <w:rsid w:val="00AC2E4B"/>
    <w:rsid w:val="00AC306C"/>
    <w:rsid w:val="00AC33A2"/>
    <w:rsid w:val="00AC39C9"/>
    <w:rsid w:val="00AC3FCA"/>
    <w:rsid w:val="00AC4714"/>
    <w:rsid w:val="00AC4998"/>
    <w:rsid w:val="00AC4F35"/>
    <w:rsid w:val="00AC5508"/>
    <w:rsid w:val="00AC5A26"/>
    <w:rsid w:val="00AC5C39"/>
    <w:rsid w:val="00AC6096"/>
    <w:rsid w:val="00AC60F9"/>
    <w:rsid w:val="00AC632B"/>
    <w:rsid w:val="00AC6725"/>
    <w:rsid w:val="00AC6A89"/>
    <w:rsid w:val="00AC6C36"/>
    <w:rsid w:val="00AC6D8B"/>
    <w:rsid w:val="00AC7142"/>
    <w:rsid w:val="00AC7283"/>
    <w:rsid w:val="00AC7308"/>
    <w:rsid w:val="00AC7FE1"/>
    <w:rsid w:val="00AD014A"/>
    <w:rsid w:val="00AD0325"/>
    <w:rsid w:val="00AD0A2B"/>
    <w:rsid w:val="00AD1942"/>
    <w:rsid w:val="00AD1B55"/>
    <w:rsid w:val="00AD1E55"/>
    <w:rsid w:val="00AD2211"/>
    <w:rsid w:val="00AD2635"/>
    <w:rsid w:val="00AD2BD1"/>
    <w:rsid w:val="00AD2CA5"/>
    <w:rsid w:val="00AD2CE6"/>
    <w:rsid w:val="00AD2DE2"/>
    <w:rsid w:val="00AD2E78"/>
    <w:rsid w:val="00AD308E"/>
    <w:rsid w:val="00AD30FD"/>
    <w:rsid w:val="00AD3556"/>
    <w:rsid w:val="00AD370B"/>
    <w:rsid w:val="00AD3A45"/>
    <w:rsid w:val="00AD455F"/>
    <w:rsid w:val="00AD471F"/>
    <w:rsid w:val="00AD482B"/>
    <w:rsid w:val="00AD4A66"/>
    <w:rsid w:val="00AD4C91"/>
    <w:rsid w:val="00AD4FBA"/>
    <w:rsid w:val="00AD505E"/>
    <w:rsid w:val="00AD52CC"/>
    <w:rsid w:val="00AD575E"/>
    <w:rsid w:val="00AD58BB"/>
    <w:rsid w:val="00AD5E3B"/>
    <w:rsid w:val="00AD647C"/>
    <w:rsid w:val="00AD6633"/>
    <w:rsid w:val="00AD6C55"/>
    <w:rsid w:val="00AD6EC8"/>
    <w:rsid w:val="00AD715B"/>
    <w:rsid w:val="00AD7659"/>
    <w:rsid w:val="00AD76E8"/>
    <w:rsid w:val="00AD7A25"/>
    <w:rsid w:val="00AE005E"/>
    <w:rsid w:val="00AE026A"/>
    <w:rsid w:val="00AE0338"/>
    <w:rsid w:val="00AE04FA"/>
    <w:rsid w:val="00AE0615"/>
    <w:rsid w:val="00AE0EC5"/>
    <w:rsid w:val="00AE1263"/>
    <w:rsid w:val="00AE12A6"/>
    <w:rsid w:val="00AE15AC"/>
    <w:rsid w:val="00AE1E22"/>
    <w:rsid w:val="00AE232A"/>
    <w:rsid w:val="00AE2F8F"/>
    <w:rsid w:val="00AE30D7"/>
    <w:rsid w:val="00AE3180"/>
    <w:rsid w:val="00AE3C6A"/>
    <w:rsid w:val="00AE3D5E"/>
    <w:rsid w:val="00AE44C2"/>
    <w:rsid w:val="00AE4AE8"/>
    <w:rsid w:val="00AE4DD2"/>
    <w:rsid w:val="00AE5369"/>
    <w:rsid w:val="00AE57AB"/>
    <w:rsid w:val="00AE5B32"/>
    <w:rsid w:val="00AE5CC6"/>
    <w:rsid w:val="00AE5D0D"/>
    <w:rsid w:val="00AE65A1"/>
    <w:rsid w:val="00AE6631"/>
    <w:rsid w:val="00AE6AFB"/>
    <w:rsid w:val="00AE6B6B"/>
    <w:rsid w:val="00AE716E"/>
    <w:rsid w:val="00AE7336"/>
    <w:rsid w:val="00AE748C"/>
    <w:rsid w:val="00AE74D2"/>
    <w:rsid w:val="00AE7CCD"/>
    <w:rsid w:val="00AE7D29"/>
    <w:rsid w:val="00AE7EF8"/>
    <w:rsid w:val="00AF00CB"/>
    <w:rsid w:val="00AF013D"/>
    <w:rsid w:val="00AF01DB"/>
    <w:rsid w:val="00AF04A3"/>
    <w:rsid w:val="00AF06B0"/>
    <w:rsid w:val="00AF08A4"/>
    <w:rsid w:val="00AF0C3D"/>
    <w:rsid w:val="00AF0CFF"/>
    <w:rsid w:val="00AF1881"/>
    <w:rsid w:val="00AF18A2"/>
    <w:rsid w:val="00AF1F23"/>
    <w:rsid w:val="00AF212C"/>
    <w:rsid w:val="00AF21E6"/>
    <w:rsid w:val="00AF23FA"/>
    <w:rsid w:val="00AF28C1"/>
    <w:rsid w:val="00AF31DE"/>
    <w:rsid w:val="00AF3207"/>
    <w:rsid w:val="00AF3A5E"/>
    <w:rsid w:val="00AF46FD"/>
    <w:rsid w:val="00AF4930"/>
    <w:rsid w:val="00AF4D6B"/>
    <w:rsid w:val="00AF549F"/>
    <w:rsid w:val="00AF58D2"/>
    <w:rsid w:val="00AF5A3B"/>
    <w:rsid w:val="00AF67AA"/>
    <w:rsid w:val="00AF69E5"/>
    <w:rsid w:val="00AF6E77"/>
    <w:rsid w:val="00AF74B8"/>
    <w:rsid w:val="00AF7564"/>
    <w:rsid w:val="00AF7C5D"/>
    <w:rsid w:val="00B002A5"/>
    <w:rsid w:val="00B00E66"/>
    <w:rsid w:val="00B016E8"/>
    <w:rsid w:val="00B017D8"/>
    <w:rsid w:val="00B01FC3"/>
    <w:rsid w:val="00B02860"/>
    <w:rsid w:val="00B030FD"/>
    <w:rsid w:val="00B03399"/>
    <w:rsid w:val="00B03717"/>
    <w:rsid w:val="00B0381D"/>
    <w:rsid w:val="00B03F6B"/>
    <w:rsid w:val="00B0430D"/>
    <w:rsid w:val="00B046DA"/>
    <w:rsid w:val="00B0492A"/>
    <w:rsid w:val="00B04B98"/>
    <w:rsid w:val="00B04C92"/>
    <w:rsid w:val="00B04CC6"/>
    <w:rsid w:val="00B04D11"/>
    <w:rsid w:val="00B050F0"/>
    <w:rsid w:val="00B05D7F"/>
    <w:rsid w:val="00B068E3"/>
    <w:rsid w:val="00B06BEB"/>
    <w:rsid w:val="00B06EEA"/>
    <w:rsid w:val="00B0706E"/>
    <w:rsid w:val="00B071C4"/>
    <w:rsid w:val="00B07347"/>
    <w:rsid w:val="00B07717"/>
    <w:rsid w:val="00B0777C"/>
    <w:rsid w:val="00B07964"/>
    <w:rsid w:val="00B10117"/>
    <w:rsid w:val="00B10265"/>
    <w:rsid w:val="00B102E5"/>
    <w:rsid w:val="00B104D7"/>
    <w:rsid w:val="00B105DA"/>
    <w:rsid w:val="00B107E5"/>
    <w:rsid w:val="00B1127A"/>
    <w:rsid w:val="00B114C7"/>
    <w:rsid w:val="00B117C7"/>
    <w:rsid w:val="00B1196A"/>
    <w:rsid w:val="00B119FC"/>
    <w:rsid w:val="00B120FA"/>
    <w:rsid w:val="00B12125"/>
    <w:rsid w:val="00B12277"/>
    <w:rsid w:val="00B12ECF"/>
    <w:rsid w:val="00B1363B"/>
    <w:rsid w:val="00B13AA4"/>
    <w:rsid w:val="00B13AB0"/>
    <w:rsid w:val="00B1421C"/>
    <w:rsid w:val="00B142DA"/>
    <w:rsid w:val="00B14515"/>
    <w:rsid w:val="00B145B1"/>
    <w:rsid w:val="00B14EE0"/>
    <w:rsid w:val="00B156E4"/>
    <w:rsid w:val="00B15CBE"/>
    <w:rsid w:val="00B15F44"/>
    <w:rsid w:val="00B15FF5"/>
    <w:rsid w:val="00B16555"/>
    <w:rsid w:val="00B16B34"/>
    <w:rsid w:val="00B16BB4"/>
    <w:rsid w:val="00B17142"/>
    <w:rsid w:val="00B17252"/>
    <w:rsid w:val="00B1764A"/>
    <w:rsid w:val="00B1767A"/>
    <w:rsid w:val="00B17A1F"/>
    <w:rsid w:val="00B20657"/>
    <w:rsid w:val="00B20AB1"/>
    <w:rsid w:val="00B2138D"/>
    <w:rsid w:val="00B21615"/>
    <w:rsid w:val="00B2165B"/>
    <w:rsid w:val="00B21670"/>
    <w:rsid w:val="00B21743"/>
    <w:rsid w:val="00B219CE"/>
    <w:rsid w:val="00B21A33"/>
    <w:rsid w:val="00B21CB2"/>
    <w:rsid w:val="00B22260"/>
    <w:rsid w:val="00B223A4"/>
    <w:rsid w:val="00B229F8"/>
    <w:rsid w:val="00B22FF0"/>
    <w:rsid w:val="00B23068"/>
    <w:rsid w:val="00B23219"/>
    <w:rsid w:val="00B232CF"/>
    <w:rsid w:val="00B23AB5"/>
    <w:rsid w:val="00B23DA6"/>
    <w:rsid w:val="00B23F9E"/>
    <w:rsid w:val="00B24162"/>
    <w:rsid w:val="00B245A6"/>
    <w:rsid w:val="00B245A7"/>
    <w:rsid w:val="00B24927"/>
    <w:rsid w:val="00B25397"/>
    <w:rsid w:val="00B253A7"/>
    <w:rsid w:val="00B25620"/>
    <w:rsid w:val="00B25963"/>
    <w:rsid w:val="00B25FC5"/>
    <w:rsid w:val="00B264B7"/>
    <w:rsid w:val="00B2656E"/>
    <w:rsid w:val="00B2657F"/>
    <w:rsid w:val="00B27673"/>
    <w:rsid w:val="00B2771D"/>
    <w:rsid w:val="00B27805"/>
    <w:rsid w:val="00B27D8A"/>
    <w:rsid w:val="00B309F0"/>
    <w:rsid w:val="00B30A92"/>
    <w:rsid w:val="00B30CA4"/>
    <w:rsid w:val="00B3148E"/>
    <w:rsid w:val="00B318A7"/>
    <w:rsid w:val="00B32023"/>
    <w:rsid w:val="00B3243B"/>
    <w:rsid w:val="00B326F7"/>
    <w:rsid w:val="00B32B93"/>
    <w:rsid w:val="00B32FDD"/>
    <w:rsid w:val="00B33421"/>
    <w:rsid w:val="00B33A8B"/>
    <w:rsid w:val="00B33A97"/>
    <w:rsid w:val="00B341B7"/>
    <w:rsid w:val="00B35280"/>
    <w:rsid w:val="00B35303"/>
    <w:rsid w:val="00B35E34"/>
    <w:rsid w:val="00B362B6"/>
    <w:rsid w:val="00B36557"/>
    <w:rsid w:val="00B366B5"/>
    <w:rsid w:val="00B36AA7"/>
    <w:rsid w:val="00B36D41"/>
    <w:rsid w:val="00B372D5"/>
    <w:rsid w:val="00B37520"/>
    <w:rsid w:val="00B37975"/>
    <w:rsid w:val="00B37984"/>
    <w:rsid w:val="00B37AB4"/>
    <w:rsid w:val="00B37B55"/>
    <w:rsid w:val="00B40188"/>
    <w:rsid w:val="00B40268"/>
    <w:rsid w:val="00B406FE"/>
    <w:rsid w:val="00B4076D"/>
    <w:rsid w:val="00B40AC0"/>
    <w:rsid w:val="00B40BE9"/>
    <w:rsid w:val="00B40DD7"/>
    <w:rsid w:val="00B41015"/>
    <w:rsid w:val="00B410CF"/>
    <w:rsid w:val="00B412C0"/>
    <w:rsid w:val="00B41B96"/>
    <w:rsid w:val="00B41C9C"/>
    <w:rsid w:val="00B41E22"/>
    <w:rsid w:val="00B41E2C"/>
    <w:rsid w:val="00B42025"/>
    <w:rsid w:val="00B4202C"/>
    <w:rsid w:val="00B42173"/>
    <w:rsid w:val="00B427F8"/>
    <w:rsid w:val="00B43605"/>
    <w:rsid w:val="00B43731"/>
    <w:rsid w:val="00B437A4"/>
    <w:rsid w:val="00B437E7"/>
    <w:rsid w:val="00B43DD0"/>
    <w:rsid w:val="00B440DB"/>
    <w:rsid w:val="00B44454"/>
    <w:rsid w:val="00B44634"/>
    <w:rsid w:val="00B44928"/>
    <w:rsid w:val="00B44B06"/>
    <w:rsid w:val="00B44C84"/>
    <w:rsid w:val="00B44D3D"/>
    <w:rsid w:val="00B45291"/>
    <w:rsid w:val="00B4595A"/>
    <w:rsid w:val="00B45DD7"/>
    <w:rsid w:val="00B45ECD"/>
    <w:rsid w:val="00B45F80"/>
    <w:rsid w:val="00B4663B"/>
    <w:rsid w:val="00B472C2"/>
    <w:rsid w:val="00B4746B"/>
    <w:rsid w:val="00B475D2"/>
    <w:rsid w:val="00B47872"/>
    <w:rsid w:val="00B501B3"/>
    <w:rsid w:val="00B50456"/>
    <w:rsid w:val="00B5061A"/>
    <w:rsid w:val="00B5074D"/>
    <w:rsid w:val="00B5121C"/>
    <w:rsid w:val="00B5147C"/>
    <w:rsid w:val="00B51870"/>
    <w:rsid w:val="00B51BD1"/>
    <w:rsid w:val="00B52F3F"/>
    <w:rsid w:val="00B54271"/>
    <w:rsid w:val="00B549EB"/>
    <w:rsid w:val="00B54ED3"/>
    <w:rsid w:val="00B55031"/>
    <w:rsid w:val="00B5503F"/>
    <w:rsid w:val="00B5562E"/>
    <w:rsid w:val="00B55650"/>
    <w:rsid w:val="00B559E0"/>
    <w:rsid w:val="00B56D81"/>
    <w:rsid w:val="00B5714E"/>
    <w:rsid w:val="00B57AD3"/>
    <w:rsid w:val="00B57DCF"/>
    <w:rsid w:val="00B60243"/>
    <w:rsid w:val="00B6051F"/>
    <w:rsid w:val="00B60AA0"/>
    <w:rsid w:val="00B60B67"/>
    <w:rsid w:val="00B60E1D"/>
    <w:rsid w:val="00B61989"/>
    <w:rsid w:val="00B61C47"/>
    <w:rsid w:val="00B61CAF"/>
    <w:rsid w:val="00B61E93"/>
    <w:rsid w:val="00B61FFE"/>
    <w:rsid w:val="00B62D42"/>
    <w:rsid w:val="00B62DA4"/>
    <w:rsid w:val="00B62DDA"/>
    <w:rsid w:val="00B62EBE"/>
    <w:rsid w:val="00B6313C"/>
    <w:rsid w:val="00B63190"/>
    <w:rsid w:val="00B63570"/>
    <w:rsid w:val="00B63650"/>
    <w:rsid w:val="00B638D7"/>
    <w:rsid w:val="00B63AC6"/>
    <w:rsid w:val="00B64DBA"/>
    <w:rsid w:val="00B64FAF"/>
    <w:rsid w:val="00B650B2"/>
    <w:rsid w:val="00B6617A"/>
    <w:rsid w:val="00B66816"/>
    <w:rsid w:val="00B66EC8"/>
    <w:rsid w:val="00B6721A"/>
    <w:rsid w:val="00B6749E"/>
    <w:rsid w:val="00B676D6"/>
    <w:rsid w:val="00B67D11"/>
    <w:rsid w:val="00B70320"/>
    <w:rsid w:val="00B704DA"/>
    <w:rsid w:val="00B70547"/>
    <w:rsid w:val="00B706A1"/>
    <w:rsid w:val="00B70B6B"/>
    <w:rsid w:val="00B70BF4"/>
    <w:rsid w:val="00B70D08"/>
    <w:rsid w:val="00B70E0D"/>
    <w:rsid w:val="00B70EE9"/>
    <w:rsid w:val="00B70FD5"/>
    <w:rsid w:val="00B71250"/>
    <w:rsid w:val="00B71783"/>
    <w:rsid w:val="00B71A13"/>
    <w:rsid w:val="00B71B01"/>
    <w:rsid w:val="00B71CE2"/>
    <w:rsid w:val="00B71DA7"/>
    <w:rsid w:val="00B7220B"/>
    <w:rsid w:val="00B723D8"/>
    <w:rsid w:val="00B725E9"/>
    <w:rsid w:val="00B7260A"/>
    <w:rsid w:val="00B7285A"/>
    <w:rsid w:val="00B72F0C"/>
    <w:rsid w:val="00B73446"/>
    <w:rsid w:val="00B735C1"/>
    <w:rsid w:val="00B74CF1"/>
    <w:rsid w:val="00B75243"/>
    <w:rsid w:val="00B75844"/>
    <w:rsid w:val="00B763B5"/>
    <w:rsid w:val="00B765D7"/>
    <w:rsid w:val="00B766DC"/>
    <w:rsid w:val="00B77775"/>
    <w:rsid w:val="00B80157"/>
    <w:rsid w:val="00B802ED"/>
    <w:rsid w:val="00B8031F"/>
    <w:rsid w:val="00B80BEF"/>
    <w:rsid w:val="00B8104C"/>
    <w:rsid w:val="00B81639"/>
    <w:rsid w:val="00B8170B"/>
    <w:rsid w:val="00B82025"/>
    <w:rsid w:val="00B82028"/>
    <w:rsid w:val="00B820EA"/>
    <w:rsid w:val="00B8321A"/>
    <w:rsid w:val="00B837B9"/>
    <w:rsid w:val="00B83CBD"/>
    <w:rsid w:val="00B83E94"/>
    <w:rsid w:val="00B840F7"/>
    <w:rsid w:val="00B84321"/>
    <w:rsid w:val="00B844CD"/>
    <w:rsid w:val="00B849E7"/>
    <w:rsid w:val="00B84F09"/>
    <w:rsid w:val="00B84F14"/>
    <w:rsid w:val="00B85217"/>
    <w:rsid w:val="00B858D5"/>
    <w:rsid w:val="00B860B8"/>
    <w:rsid w:val="00B86CA5"/>
    <w:rsid w:val="00B8710F"/>
    <w:rsid w:val="00B87389"/>
    <w:rsid w:val="00B8758C"/>
    <w:rsid w:val="00B902F5"/>
    <w:rsid w:val="00B90937"/>
    <w:rsid w:val="00B90AA3"/>
    <w:rsid w:val="00B90AD6"/>
    <w:rsid w:val="00B90D99"/>
    <w:rsid w:val="00B91D6D"/>
    <w:rsid w:val="00B91DC9"/>
    <w:rsid w:val="00B9242F"/>
    <w:rsid w:val="00B92A59"/>
    <w:rsid w:val="00B92B07"/>
    <w:rsid w:val="00B92C27"/>
    <w:rsid w:val="00B93404"/>
    <w:rsid w:val="00B93BF5"/>
    <w:rsid w:val="00B940ED"/>
    <w:rsid w:val="00B9438A"/>
    <w:rsid w:val="00B957B5"/>
    <w:rsid w:val="00B9586C"/>
    <w:rsid w:val="00B967EE"/>
    <w:rsid w:val="00B96EB0"/>
    <w:rsid w:val="00B97309"/>
    <w:rsid w:val="00B973FF"/>
    <w:rsid w:val="00B976AD"/>
    <w:rsid w:val="00B97715"/>
    <w:rsid w:val="00B97834"/>
    <w:rsid w:val="00B97EE5"/>
    <w:rsid w:val="00BA008C"/>
    <w:rsid w:val="00BA0693"/>
    <w:rsid w:val="00BA0BCB"/>
    <w:rsid w:val="00BA0D17"/>
    <w:rsid w:val="00BA15F7"/>
    <w:rsid w:val="00BA16B4"/>
    <w:rsid w:val="00BA17AF"/>
    <w:rsid w:val="00BA19C6"/>
    <w:rsid w:val="00BA1A89"/>
    <w:rsid w:val="00BA1C78"/>
    <w:rsid w:val="00BA1D1C"/>
    <w:rsid w:val="00BA2998"/>
    <w:rsid w:val="00BA314F"/>
    <w:rsid w:val="00BA317B"/>
    <w:rsid w:val="00BA380C"/>
    <w:rsid w:val="00BA3D92"/>
    <w:rsid w:val="00BA46C3"/>
    <w:rsid w:val="00BA4B92"/>
    <w:rsid w:val="00BA55BA"/>
    <w:rsid w:val="00BA5AEA"/>
    <w:rsid w:val="00BA6208"/>
    <w:rsid w:val="00BA629F"/>
    <w:rsid w:val="00BA6890"/>
    <w:rsid w:val="00BA6D53"/>
    <w:rsid w:val="00BA72CB"/>
    <w:rsid w:val="00BA7574"/>
    <w:rsid w:val="00BA7618"/>
    <w:rsid w:val="00BA7E3F"/>
    <w:rsid w:val="00BA7F03"/>
    <w:rsid w:val="00BB130E"/>
    <w:rsid w:val="00BB1330"/>
    <w:rsid w:val="00BB1ADF"/>
    <w:rsid w:val="00BB1C68"/>
    <w:rsid w:val="00BB2551"/>
    <w:rsid w:val="00BB25EE"/>
    <w:rsid w:val="00BB268C"/>
    <w:rsid w:val="00BB2728"/>
    <w:rsid w:val="00BB3464"/>
    <w:rsid w:val="00BB3689"/>
    <w:rsid w:val="00BB4595"/>
    <w:rsid w:val="00BB46DA"/>
    <w:rsid w:val="00BB47C0"/>
    <w:rsid w:val="00BB4A87"/>
    <w:rsid w:val="00BB5281"/>
    <w:rsid w:val="00BB5AAC"/>
    <w:rsid w:val="00BB6141"/>
    <w:rsid w:val="00BB6205"/>
    <w:rsid w:val="00BB67D0"/>
    <w:rsid w:val="00BB6A89"/>
    <w:rsid w:val="00BC0277"/>
    <w:rsid w:val="00BC06F7"/>
    <w:rsid w:val="00BC0C7D"/>
    <w:rsid w:val="00BC0F51"/>
    <w:rsid w:val="00BC1666"/>
    <w:rsid w:val="00BC1834"/>
    <w:rsid w:val="00BC1F5E"/>
    <w:rsid w:val="00BC26E2"/>
    <w:rsid w:val="00BC2E87"/>
    <w:rsid w:val="00BC3403"/>
    <w:rsid w:val="00BC372F"/>
    <w:rsid w:val="00BC3A1B"/>
    <w:rsid w:val="00BC403B"/>
    <w:rsid w:val="00BC4C43"/>
    <w:rsid w:val="00BC4D86"/>
    <w:rsid w:val="00BC5394"/>
    <w:rsid w:val="00BC5835"/>
    <w:rsid w:val="00BC5AB5"/>
    <w:rsid w:val="00BC6413"/>
    <w:rsid w:val="00BC68AF"/>
    <w:rsid w:val="00BC788C"/>
    <w:rsid w:val="00BC78BA"/>
    <w:rsid w:val="00BD0207"/>
    <w:rsid w:val="00BD0274"/>
    <w:rsid w:val="00BD0486"/>
    <w:rsid w:val="00BD065A"/>
    <w:rsid w:val="00BD06D0"/>
    <w:rsid w:val="00BD0BF1"/>
    <w:rsid w:val="00BD0F1C"/>
    <w:rsid w:val="00BD1135"/>
    <w:rsid w:val="00BD1875"/>
    <w:rsid w:val="00BD1DA1"/>
    <w:rsid w:val="00BD22E3"/>
    <w:rsid w:val="00BD2597"/>
    <w:rsid w:val="00BD272D"/>
    <w:rsid w:val="00BD29E5"/>
    <w:rsid w:val="00BD2AB7"/>
    <w:rsid w:val="00BD2BDB"/>
    <w:rsid w:val="00BD3095"/>
    <w:rsid w:val="00BD3BF2"/>
    <w:rsid w:val="00BD40D1"/>
    <w:rsid w:val="00BD42BB"/>
    <w:rsid w:val="00BD44D9"/>
    <w:rsid w:val="00BD46E0"/>
    <w:rsid w:val="00BD5232"/>
    <w:rsid w:val="00BD5778"/>
    <w:rsid w:val="00BD5B44"/>
    <w:rsid w:val="00BD5D76"/>
    <w:rsid w:val="00BD64F1"/>
    <w:rsid w:val="00BD6AB5"/>
    <w:rsid w:val="00BD7156"/>
    <w:rsid w:val="00BD7771"/>
    <w:rsid w:val="00BD7EDE"/>
    <w:rsid w:val="00BE0002"/>
    <w:rsid w:val="00BE02E4"/>
    <w:rsid w:val="00BE12D6"/>
    <w:rsid w:val="00BE1563"/>
    <w:rsid w:val="00BE17D2"/>
    <w:rsid w:val="00BE1A2F"/>
    <w:rsid w:val="00BE1B5B"/>
    <w:rsid w:val="00BE2484"/>
    <w:rsid w:val="00BE266E"/>
    <w:rsid w:val="00BE26EE"/>
    <w:rsid w:val="00BE2C56"/>
    <w:rsid w:val="00BE3428"/>
    <w:rsid w:val="00BE349F"/>
    <w:rsid w:val="00BE3926"/>
    <w:rsid w:val="00BE3DF0"/>
    <w:rsid w:val="00BE3F25"/>
    <w:rsid w:val="00BE3FB9"/>
    <w:rsid w:val="00BE4E2C"/>
    <w:rsid w:val="00BE5B18"/>
    <w:rsid w:val="00BE695A"/>
    <w:rsid w:val="00BE701A"/>
    <w:rsid w:val="00BE72CD"/>
    <w:rsid w:val="00BE79C6"/>
    <w:rsid w:val="00BE7B91"/>
    <w:rsid w:val="00BE7C87"/>
    <w:rsid w:val="00BE7CB8"/>
    <w:rsid w:val="00BE7EF1"/>
    <w:rsid w:val="00BF002F"/>
    <w:rsid w:val="00BF0D2C"/>
    <w:rsid w:val="00BF14B3"/>
    <w:rsid w:val="00BF18AE"/>
    <w:rsid w:val="00BF1B6E"/>
    <w:rsid w:val="00BF1E0C"/>
    <w:rsid w:val="00BF2D59"/>
    <w:rsid w:val="00BF2E55"/>
    <w:rsid w:val="00BF3303"/>
    <w:rsid w:val="00BF372E"/>
    <w:rsid w:val="00BF3920"/>
    <w:rsid w:val="00BF3B60"/>
    <w:rsid w:val="00BF3EBD"/>
    <w:rsid w:val="00BF4023"/>
    <w:rsid w:val="00BF4052"/>
    <w:rsid w:val="00BF4E39"/>
    <w:rsid w:val="00BF5064"/>
    <w:rsid w:val="00BF56A0"/>
    <w:rsid w:val="00BF5B10"/>
    <w:rsid w:val="00BF5BF7"/>
    <w:rsid w:val="00BF61B8"/>
    <w:rsid w:val="00BF62A8"/>
    <w:rsid w:val="00BF6957"/>
    <w:rsid w:val="00BF69CC"/>
    <w:rsid w:val="00BF7152"/>
    <w:rsid w:val="00BF74E7"/>
    <w:rsid w:val="00BF7F97"/>
    <w:rsid w:val="00C00109"/>
    <w:rsid w:val="00C00C54"/>
    <w:rsid w:val="00C00F5C"/>
    <w:rsid w:val="00C01673"/>
    <w:rsid w:val="00C016BC"/>
    <w:rsid w:val="00C01839"/>
    <w:rsid w:val="00C018C4"/>
    <w:rsid w:val="00C01A93"/>
    <w:rsid w:val="00C01ACF"/>
    <w:rsid w:val="00C0231A"/>
    <w:rsid w:val="00C02CFB"/>
    <w:rsid w:val="00C03564"/>
    <w:rsid w:val="00C036D4"/>
    <w:rsid w:val="00C039CC"/>
    <w:rsid w:val="00C0484B"/>
    <w:rsid w:val="00C05184"/>
    <w:rsid w:val="00C05270"/>
    <w:rsid w:val="00C05309"/>
    <w:rsid w:val="00C053D8"/>
    <w:rsid w:val="00C0563E"/>
    <w:rsid w:val="00C05640"/>
    <w:rsid w:val="00C05706"/>
    <w:rsid w:val="00C05D61"/>
    <w:rsid w:val="00C05E91"/>
    <w:rsid w:val="00C0670E"/>
    <w:rsid w:val="00C06D00"/>
    <w:rsid w:val="00C06E9F"/>
    <w:rsid w:val="00C07776"/>
    <w:rsid w:val="00C079F8"/>
    <w:rsid w:val="00C07A41"/>
    <w:rsid w:val="00C07B17"/>
    <w:rsid w:val="00C07FF5"/>
    <w:rsid w:val="00C10A94"/>
    <w:rsid w:val="00C10B35"/>
    <w:rsid w:val="00C10F09"/>
    <w:rsid w:val="00C10F6E"/>
    <w:rsid w:val="00C11440"/>
    <w:rsid w:val="00C11A25"/>
    <w:rsid w:val="00C1267B"/>
    <w:rsid w:val="00C127FF"/>
    <w:rsid w:val="00C1284F"/>
    <w:rsid w:val="00C129C2"/>
    <w:rsid w:val="00C12B95"/>
    <w:rsid w:val="00C12C51"/>
    <w:rsid w:val="00C12FF1"/>
    <w:rsid w:val="00C131EC"/>
    <w:rsid w:val="00C1322E"/>
    <w:rsid w:val="00C135C6"/>
    <w:rsid w:val="00C13D23"/>
    <w:rsid w:val="00C141AF"/>
    <w:rsid w:val="00C14503"/>
    <w:rsid w:val="00C1491E"/>
    <w:rsid w:val="00C14E0C"/>
    <w:rsid w:val="00C14F46"/>
    <w:rsid w:val="00C166A0"/>
    <w:rsid w:val="00C16DAB"/>
    <w:rsid w:val="00C16E55"/>
    <w:rsid w:val="00C17888"/>
    <w:rsid w:val="00C17942"/>
    <w:rsid w:val="00C17F55"/>
    <w:rsid w:val="00C21015"/>
    <w:rsid w:val="00C21074"/>
    <w:rsid w:val="00C211AE"/>
    <w:rsid w:val="00C2176C"/>
    <w:rsid w:val="00C21994"/>
    <w:rsid w:val="00C21D01"/>
    <w:rsid w:val="00C22102"/>
    <w:rsid w:val="00C22121"/>
    <w:rsid w:val="00C221AB"/>
    <w:rsid w:val="00C22254"/>
    <w:rsid w:val="00C22480"/>
    <w:rsid w:val="00C226B5"/>
    <w:rsid w:val="00C22873"/>
    <w:rsid w:val="00C2287A"/>
    <w:rsid w:val="00C22B26"/>
    <w:rsid w:val="00C236EF"/>
    <w:rsid w:val="00C23865"/>
    <w:rsid w:val="00C23F21"/>
    <w:rsid w:val="00C246F1"/>
    <w:rsid w:val="00C24B99"/>
    <w:rsid w:val="00C25269"/>
    <w:rsid w:val="00C2582F"/>
    <w:rsid w:val="00C25D2A"/>
    <w:rsid w:val="00C263B9"/>
    <w:rsid w:val="00C26E1E"/>
    <w:rsid w:val="00C277FD"/>
    <w:rsid w:val="00C27BA0"/>
    <w:rsid w:val="00C27DFF"/>
    <w:rsid w:val="00C27ECE"/>
    <w:rsid w:val="00C30398"/>
    <w:rsid w:val="00C30716"/>
    <w:rsid w:val="00C314D3"/>
    <w:rsid w:val="00C31591"/>
    <w:rsid w:val="00C31D4A"/>
    <w:rsid w:val="00C31E7E"/>
    <w:rsid w:val="00C321FB"/>
    <w:rsid w:val="00C32744"/>
    <w:rsid w:val="00C32BB6"/>
    <w:rsid w:val="00C32E5C"/>
    <w:rsid w:val="00C330F5"/>
    <w:rsid w:val="00C33276"/>
    <w:rsid w:val="00C336DC"/>
    <w:rsid w:val="00C33886"/>
    <w:rsid w:val="00C33A95"/>
    <w:rsid w:val="00C33C55"/>
    <w:rsid w:val="00C33DDF"/>
    <w:rsid w:val="00C34029"/>
    <w:rsid w:val="00C34299"/>
    <w:rsid w:val="00C342C5"/>
    <w:rsid w:val="00C3462F"/>
    <w:rsid w:val="00C34708"/>
    <w:rsid w:val="00C3510A"/>
    <w:rsid w:val="00C353E8"/>
    <w:rsid w:val="00C35E91"/>
    <w:rsid w:val="00C366F3"/>
    <w:rsid w:val="00C3693E"/>
    <w:rsid w:val="00C37285"/>
    <w:rsid w:val="00C372E2"/>
    <w:rsid w:val="00C37538"/>
    <w:rsid w:val="00C37719"/>
    <w:rsid w:val="00C37B0D"/>
    <w:rsid w:val="00C403FD"/>
    <w:rsid w:val="00C40429"/>
    <w:rsid w:val="00C40AF8"/>
    <w:rsid w:val="00C414E5"/>
    <w:rsid w:val="00C41722"/>
    <w:rsid w:val="00C4197E"/>
    <w:rsid w:val="00C41DA1"/>
    <w:rsid w:val="00C41F3A"/>
    <w:rsid w:val="00C42BDE"/>
    <w:rsid w:val="00C42F28"/>
    <w:rsid w:val="00C42FB4"/>
    <w:rsid w:val="00C430D8"/>
    <w:rsid w:val="00C43193"/>
    <w:rsid w:val="00C4360C"/>
    <w:rsid w:val="00C43E09"/>
    <w:rsid w:val="00C4471A"/>
    <w:rsid w:val="00C44727"/>
    <w:rsid w:val="00C450DD"/>
    <w:rsid w:val="00C45379"/>
    <w:rsid w:val="00C453E5"/>
    <w:rsid w:val="00C45731"/>
    <w:rsid w:val="00C45F1C"/>
    <w:rsid w:val="00C46213"/>
    <w:rsid w:val="00C46CCA"/>
    <w:rsid w:val="00C4745B"/>
    <w:rsid w:val="00C47586"/>
    <w:rsid w:val="00C47749"/>
    <w:rsid w:val="00C47966"/>
    <w:rsid w:val="00C50019"/>
    <w:rsid w:val="00C507F3"/>
    <w:rsid w:val="00C50F0C"/>
    <w:rsid w:val="00C51760"/>
    <w:rsid w:val="00C51D02"/>
    <w:rsid w:val="00C5212B"/>
    <w:rsid w:val="00C52380"/>
    <w:rsid w:val="00C52974"/>
    <w:rsid w:val="00C52ABF"/>
    <w:rsid w:val="00C52AD5"/>
    <w:rsid w:val="00C53197"/>
    <w:rsid w:val="00C53B3B"/>
    <w:rsid w:val="00C53BD4"/>
    <w:rsid w:val="00C53E5F"/>
    <w:rsid w:val="00C5485C"/>
    <w:rsid w:val="00C55381"/>
    <w:rsid w:val="00C55782"/>
    <w:rsid w:val="00C55789"/>
    <w:rsid w:val="00C558E9"/>
    <w:rsid w:val="00C55D4B"/>
    <w:rsid w:val="00C55F15"/>
    <w:rsid w:val="00C56CE8"/>
    <w:rsid w:val="00C56F2D"/>
    <w:rsid w:val="00C57016"/>
    <w:rsid w:val="00C57645"/>
    <w:rsid w:val="00C579D3"/>
    <w:rsid w:val="00C60428"/>
    <w:rsid w:val="00C6046C"/>
    <w:rsid w:val="00C60B9E"/>
    <w:rsid w:val="00C61607"/>
    <w:rsid w:val="00C616AB"/>
    <w:rsid w:val="00C618D3"/>
    <w:rsid w:val="00C61AE9"/>
    <w:rsid w:val="00C61C2E"/>
    <w:rsid w:val="00C62072"/>
    <w:rsid w:val="00C62094"/>
    <w:rsid w:val="00C62DB7"/>
    <w:rsid w:val="00C6324D"/>
    <w:rsid w:val="00C63854"/>
    <w:rsid w:val="00C644F1"/>
    <w:rsid w:val="00C64908"/>
    <w:rsid w:val="00C649A1"/>
    <w:rsid w:val="00C64A16"/>
    <w:rsid w:val="00C64A58"/>
    <w:rsid w:val="00C64CC9"/>
    <w:rsid w:val="00C64E1D"/>
    <w:rsid w:val="00C651E8"/>
    <w:rsid w:val="00C66514"/>
    <w:rsid w:val="00C6659C"/>
    <w:rsid w:val="00C66E91"/>
    <w:rsid w:val="00C67074"/>
    <w:rsid w:val="00C7051B"/>
    <w:rsid w:val="00C707FE"/>
    <w:rsid w:val="00C7093A"/>
    <w:rsid w:val="00C70ABA"/>
    <w:rsid w:val="00C70D13"/>
    <w:rsid w:val="00C70E34"/>
    <w:rsid w:val="00C71250"/>
    <w:rsid w:val="00C715F3"/>
    <w:rsid w:val="00C72522"/>
    <w:rsid w:val="00C72A3D"/>
    <w:rsid w:val="00C72CC8"/>
    <w:rsid w:val="00C7307A"/>
    <w:rsid w:val="00C734C7"/>
    <w:rsid w:val="00C735C6"/>
    <w:rsid w:val="00C7381D"/>
    <w:rsid w:val="00C73982"/>
    <w:rsid w:val="00C73A98"/>
    <w:rsid w:val="00C73B00"/>
    <w:rsid w:val="00C74150"/>
    <w:rsid w:val="00C7498A"/>
    <w:rsid w:val="00C74D4E"/>
    <w:rsid w:val="00C7568F"/>
    <w:rsid w:val="00C7583D"/>
    <w:rsid w:val="00C7589F"/>
    <w:rsid w:val="00C7603D"/>
    <w:rsid w:val="00C761D9"/>
    <w:rsid w:val="00C762A8"/>
    <w:rsid w:val="00C7645F"/>
    <w:rsid w:val="00C765FC"/>
    <w:rsid w:val="00C76E55"/>
    <w:rsid w:val="00C77438"/>
    <w:rsid w:val="00C77475"/>
    <w:rsid w:val="00C77570"/>
    <w:rsid w:val="00C7758D"/>
    <w:rsid w:val="00C77B07"/>
    <w:rsid w:val="00C801C8"/>
    <w:rsid w:val="00C80D45"/>
    <w:rsid w:val="00C81153"/>
    <w:rsid w:val="00C81B74"/>
    <w:rsid w:val="00C81BF6"/>
    <w:rsid w:val="00C81F7C"/>
    <w:rsid w:val="00C82A40"/>
    <w:rsid w:val="00C82AC1"/>
    <w:rsid w:val="00C82B2F"/>
    <w:rsid w:val="00C82D37"/>
    <w:rsid w:val="00C82E81"/>
    <w:rsid w:val="00C82F05"/>
    <w:rsid w:val="00C83F28"/>
    <w:rsid w:val="00C842C2"/>
    <w:rsid w:val="00C84A79"/>
    <w:rsid w:val="00C84DE4"/>
    <w:rsid w:val="00C8514C"/>
    <w:rsid w:val="00C8518C"/>
    <w:rsid w:val="00C8524A"/>
    <w:rsid w:val="00C85C12"/>
    <w:rsid w:val="00C85C13"/>
    <w:rsid w:val="00C85CF5"/>
    <w:rsid w:val="00C86114"/>
    <w:rsid w:val="00C8614C"/>
    <w:rsid w:val="00C86207"/>
    <w:rsid w:val="00C8653F"/>
    <w:rsid w:val="00C865F3"/>
    <w:rsid w:val="00C86A05"/>
    <w:rsid w:val="00C86AD0"/>
    <w:rsid w:val="00C86D57"/>
    <w:rsid w:val="00C87716"/>
    <w:rsid w:val="00C8775D"/>
    <w:rsid w:val="00C877DA"/>
    <w:rsid w:val="00C87CB0"/>
    <w:rsid w:val="00C87E02"/>
    <w:rsid w:val="00C900FE"/>
    <w:rsid w:val="00C90854"/>
    <w:rsid w:val="00C90ADB"/>
    <w:rsid w:val="00C913AD"/>
    <w:rsid w:val="00C928F9"/>
    <w:rsid w:val="00C92D1C"/>
    <w:rsid w:val="00C9342A"/>
    <w:rsid w:val="00C93D3B"/>
    <w:rsid w:val="00C93EB7"/>
    <w:rsid w:val="00C94249"/>
    <w:rsid w:val="00C94972"/>
    <w:rsid w:val="00C94B00"/>
    <w:rsid w:val="00C94B73"/>
    <w:rsid w:val="00C9505E"/>
    <w:rsid w:val="00C9507F"/>
    <w:rsid w:val="00C95348"/>
    <w:rsid w:val="00C95436"/>
    <w:rsid w:val="00C95563"/>
    <w:rsid w:val="00C9567F"/>
    <w:rsid w:val="00C957F3"/>
    <w:rsid w:val="00C95D4B"/>
    <w:rsid w:val="00C960D4"/>
    <w:rsid w:val="00C96428"/>
    <w:rsid w:val="00C96EF5"/>
    <w:rsid w:val="00CA00C6"/>
    <w:rsid w:val="00CA0210"/>
    <w:rsid w:val="00CA06DB"/>
    <w:rsid w:val="00CA151C"/>
    <w:rsid w:val="00CA1654"/>
    <w:rsid w:val="00CA1F3F"/>
    <w:rsid w:val="00CA1F93"/>
    <w:rsid w:val="00CA22B4"/>
    <w:rsid w:val="00CA23BC"/>
    <w:rsid w:val="00CA248B"/>
    <w:rsid w:val="00CA24D1"/>
    <w:rsid w:val="00CA276A"/>
    <w:rsid w:val="00CA33F8"/>
    <w:rsid w:val="00CA37D7"/>
    <w:rsid w:val="00CA3835"/>
    <w:rsid w:val="00CA3AC7"/>
    <w:rsid w:val="00CA4628"/>
    <w:rsid w:val="00CA46CE"/>
    <w:rsid w:val="00CA4AE8"/>
    <w:rsid w:val="00CA518A"/>
    <w:rsid w:val="00CA5473"/>
    <w:rsid w:val="00CA591F"/>
    <w:rsid w:val="00CA59E7"/>
    <w:rsid w:val="00CA62F7"/>
    <w:rsid w:val="00CA6727"/>
    <w:rsid w:val="00CA7064"/>
    <w:rsid w:val="00CA779F"/>
    <w:rsid w:val="00CA7BA8"/>
    <w:rsid w:val="00CA7D38"/>
    <w:rsid w:val="00CA7F5F"/>
    <w:rsid w:val="00CB00D6"/>
    <w:rsid w:val="00CB03C0"/>
    <w:rsid w:val="00CB0FFA"/>
    <w:rsid w:val="00CB1002"/>
    <w:rsid w:val="00CB120B"/>
    <w:rsid w:val="00CB133E"/>
    <w:rsid w:val="00CB139B"/>
    <w:rsid w:val="00CB16DB"/>
    <w:rsid w:val="00CB191A"/>
    <w:rsid w:val="00CB1AF0"/>
    <w:rsid w:val="00CB1C87"/>
    <w:rsid w:val="00CB1E62"/>
    <w:rsid w:val="00CB2971"/>
    <w:rsid w:val="00CB2A86"/>
    <w:rsid w:val="00CB2FB6"/>
    <w:rsid w:val="00CB330B"/>
    <w:rsid w:val="00CB3356"/>
    <w:rsid w:val="00CB338A"/>
    <w:rsid w:val="00CB3CCE"/>
    <w:rsid w:val="00CB3F20"/>
    <w:rsid w:val="00CB4388"/>
    <w:rsid w:val="00CB4673"/>
    <w:rsid w:val="00CB46CE"/>
    <w:rsid w:val="00CB49EC"/>
    <w:rsid w:val="00CB4D9A"/>
    <w:rsid w:val="00CB5153"/>
    <w:rsid w:val="00CB579B"/>
    <w:rsid w:val="00CB5911"/>
    <w:rsid w:val="00CB5B19"/>
    <w:rsid w:val="00CB5D15"/>
    <w:rsid w:val="00CB7B12"/>
    <w:rsid w:val="00CB7B69"/>
    <w:rsid w:val="00CC048D"/>
    <w:rsid w:val="00CC0547"/>
    <w:rsid w:val="00CC0560"/>
    <w:rsid w:val="00CC0EB0"/>
    <w:rsid w:val="00CC0F3B"/>
    <w:rsid w:val="00CC112C"/>
    <w:rsid w:val="00CC11B5"/>
    <w:rsid w:val="00CC1E46"/>
    <w:rsid w:val="00CC1FE1"/>
    <w:rsid w:val="00CC2426"/>
    <w:rsid w:val="00CC2898"/>
    <w:rsid w:val="00CC2BD6"/>
    <w:rsid w:val="00CC2CA2"/>
    <w:rsid w:val="00CC2E47"/>
    <w:rsid w:val="00CC30CF"/>
    <w:rsid w:val="00CC3561"/>
    <w:rsid w:val="00CC4A95"/>
    <w:rsid w:val="00CC4DB3"/>
    <w:rsid w:val="00CC5DFC"/>
    <w:rsid w:val="00CC601F"/>
    <w:rsid w:val="00CC62F9"/>
    <w:rsid w:val="00CC6E09"/>
    <w:rsid w:val="00CC7217"/>
    <w:rsid w:val="00CC725F"/>
    <w:rsid w:val="00CC7360"/>
    <w:rsid w:val="00CC7625"/>
    <w:rsid w:val="00CC77E5"/>
    <w:rsid w:val="00CC7B05"/>
    <w:rsid w:val="00CC7C56"/>
    <w:rsid w:val="00CD029C"/>
    <w:rsid w:val="00CD02B3"/>
    <w:rsid w:val="00CD0666"/>
    <w:rsid w:val="00CD0829"/>
    <w:rsid w:val="00CD13C3"/>
    <w:rsid w:val="00CD1565"/>
    <w:rsid w:val="00CD1867"/>
    <w:rsid w:val="00CD19BC"/>
    <w:rsid w:val="00CD2635"/>
    <w:rsid w:val="00CD2941"/>
    <w:rsid w:val="00CD2A22"/>
    <w:rsid w:val="00CD2A43"/>
    <w:rsid w:val="00CD2A57"/>
    <w:rsid w:val="00CD2B25"/>
    <w:rsid w:val="00CD2B36"/>
    <w:rsid w:val="00CD2FFB"/>
    <w:rsid w:val="00CD38FA"/>
    <w:rsid w:val="00CD3E0F"/>
    <w:rsid w:val="00CD40EA"/>
    <w:rsid w:val="00CD481C"/>
    <w:rsid w:val="00CD4BEC"/>
    <w:rsid w:val="00CD4E82"/>
    <w:rsid w:val="00CD4F3F"/>
    <w:rsid w:val="00CD5028"/>
    <w:rsid w:val="00CD52F5"/>
    <w:rsid w:val="00CD5372"/>
    <w:rsid w:val="00CD57FF"/>
    <w:rsid w:val="00CD5C4A"/>
    <w:rsid w:val="00CD61AF"/>
    <w:rsid w:val="00CD670B"/>
    <w:rsid w:val="00CD6B61"/>
    <w:rsid w:val="00CD6CFD"/>
    <w:rsid w:val="00CD70CA"/>
    <w:rsid w:val="00CD7350"/>
    <w:rsid w:val="00CD77E3"/>
    <w:rsid w:val="00CD7F94"/>
    <w:rsid w:val="00CE00B9"/>
    <w:rsid w:val="00CE0208"/>
    <w:rsid w:val="00CE0455"/>
    <w:rsid w:val="00CE08A5"/>
    <w:rsid w:val="00CE0ACC"/>
    <w:rsid w:val="00CE0CFA"/>
    <w:rsid w:val="00CE0D22"/>
    <w:rsid w:val="00CE0E3E"/>
    <w:rsid w:val="00CE158A"/>
    <w:rsid w:val="00CE1800"/>
    <w:rsid w:val="00CE2043"/>
    <w:rsid w:val="00CE2628"/>
    <w:rsid w:val="00CE2ABC"/>
    <w:rsid w:val="00CE2AC0"/>
    <w:rsid w:val="00CE2B49"/>
    <w:rsid w:val="00CE2DC7"/>
    <w:rsid w:val="00CE2E90"/>
    <w:rsid w:val="00CE2ED7"/>
    <w:rsid w:val="00CE375D"/>
    <w:rsid w:val="00CE3AF1"/>
    <w:rsid w:val="00CE3C8B"/>
    <w:rsid w:val="00CE3DD8"/>
    <w:rsid w:val="00CE3FEA"/>
    <w:rsid w:val="00CE4044"/>
    <w:rsid w:val="00CE47AE"/>
    <w:rsid w:val="00CE4E46"/>
    <w:rsid w:val="00CE4F7D"/>
    <w:rsid w:val="00CE58B1"/>
    <w:rsid w:val="00CE606E"/>
    <w:rsid w:val="00CE6185"/>
    <w:rsid w:val="00CE70D4"/>
    <w:rsid w:val="00CF0073"/>
    <w:rsid w:val="00CF01A4"/>
    <w:rsid w:val="00CF07A0"/>
    <w:rsid w:val="00CF087D"/>
    <w:rsid w:val="00CF0966"/>
    <w:rsid w:val="00CF12F6"/>
    <w:rsid w:val="00CF2639"/>
    <w:rsid w:val="00CF2683"/>
    <w:rsid w:val="00CF30F4"/>
    <w:rsid w:val="00CF3459"/>
    <w:rsid w:val="00CF38B6"/>
    <w:rsid w:val="00CF3A2D"/>
    <w:rsid w:val="00CF3BAF"/>
    <w:rsid w:val="00CF4042"/>
    <w:rsid w:val="00CF42AD"/>
    <w:rsid w:val="00CF461F"/>
    <w:rsid w:val="00CF4855"/>
    <w:rsid w:val="00CF509B"/>
    <w:rsid w:val="00CF51A6"/>
    <w:rsid w:val="00CF5446"/>
    <w:rsid w:val="00CF55A5"/>
    <w:rsid w:val="00CF56F1"/>
    <w:rsid w:val="00CF588F"/>
    <w:rsid w:val="00CF5F43"/>
    <w:rsid w:val="00CF6D32"/>
    <w:rsid w:val="00CF7002"/>
    <w:rsid w:val="00CF7339"/>
    <w:rsid w:val="00CF7A46"/>
    <w:rsid w:val="00CF7AAD"/>
    <w:rsid w:val="00D00045"/>
    <w:rsid w:val="00D001E1"/>
    <w:rsid w:val="00D00651"/>
    <w:rsid w:val="00D00D44"/>
    <w:rsid w:val="00D00F5E"/>
    <w:rsid w:val="00D011E5"/>
    <w:rsid w:val="00D01630"/>
    <w:rsid w:val="00D018E0"/>
    <w:rsid w:val="00D01984"/>
    <w:rsid w:val="00D019DA"/>
    <w:rsid w:val="00D0337F"/>
    <w:rsid w:val="00D0354A"/>
    <w:rsid w:val="00D03B6D"/>
    <w:rsid w:val="00D04337"/>
    <w:rsid w:val="00D04571"/>
    <w:rsid w:val="00D046B3"/>
    <w:rsid w:val="00D0480C"/>
    <w:rsid w:val="00D0509D"/>
    <w:rsid w:val="00D05324"/>
    <w:rsid w:val="00D0543B"/>
    <w:rsid w:val="00D05782"/>
    <w:rsid w:val="00D05D9D"/>
    <w:rsid w:val="00D05E76"/>
    <w:rsid w:val="00D06125"/>
    <w:rsid w:val="00D0624D"/>
    <w:rsid w:val="00D06591"/>
    <w:rsid w:val="00D06745"/>
    <w:rsid w:val="00D06A1B"/>
    <w:rsid w:val="00D072D3"/>
    <w:rsid w:val="00D07325"/>
    <w:rsid w:val="00D075E6"/>
    <w:rsid w:val="00D07B72"/>
    <w:rsid w:val="00D10B2B"/>
    <w:rsid w:val="00D1112E"/>
    <w:rsid w:val="00D12284"/>
    <w:rsid w:val="00D12298"/>
    <w:rsid w:val="00D122ED"/>
    <w:rsid w:val="00D128B9"/>
    <w:rsid w:val="00D128CD"/>
    <w:rsid w:val="00D12949"/>
    <w:rsid w:val="00D12A4C"/>
    <w:rsid w:val="00D12AE7"/>
    <w:rsid w:val="00D135B8"/>
    <w:rsid w:val="00D13AA1"/>
    <w:rsid w:val="00D13E62"/>
    <w:rsid w:val="00D14515"/>
    <w:rsid w:val="00D14AD5"/>
    <w:rsid w:val="00D14DA8"/>
    <w:rsid w:val="00D14F95"/>
    <w:rsid w:val="00D1523D"/>
    <w:rsid w:val="00D15481"/>
    <w:rsid w:val="00D158BD"/>
    <w:rsid w:val="00D15B8F"/>
    <w:rsid w:val="00D15C46"/>
    <w:rsid w:val="00D15F02"/>
    <w:rsid w:val="00D16209"/>
    <w:rsid w:val="00D16313"/>
    <w:rsid w:val="00D1656C"/>
    <w:rsid w:val="00D16783"/>
    <w:rsid w:val="00D16A3B"/>
    <w:rsid w:val="00D16FDC"/>
    <w:rsid w:val="00D171DD"/>
    <w:rsid w:val="00D178D0"/>
    <w:rsid w:val="00D179EC"/>
    <w:rsid w:val="00D17E6E"/>
    <w:rsid w:val="00D17FB0"/>
    <w:rsid w:val="00D2014C"/>
    <w:rsid w:val="00D2045D"/>
    <w:rsid w:val="00D20EC8"/>
    <w:rsid w:val="00D211B4"/>
    <w:rsid w:val="00D21E13"/>
    <w:rsid w:val="00D22097"/>
    <w:rsid w:val="00D2265E"/>
    <w:rsid w:val="00D22817"/>
    <w:rsid w:val="00D2300D"/>
    <w:rsid w:val="00D2361A"/>
    <w:rsid w:val="00D236B7"/>
    <w:rsid w:val="00D237E3"/>
    <w:rsid w:val="00D23865"/>
    <w:rsid w:val="00D23F90"/>
    <w:rsid w:val="00D24329"/>
    <w:rsid w:val="00D24B75"/>
    <w:rsid w:val="00D2502C"/>
    <w:rsid w:val="00D25360"/>
    <w:rsid w:val="00D25562"/>
    <w:rsid w:val="00D25870"/>
    <w:rsid w:val="00D260A0"/>
    <w:rsid w:val="00D26254"/>
    <w:rsid w:val="00D26300"/>
    <w:rsid w:val="00D26491"/>
    <w:rsid w:val="00D26D67"/>
    <w:rsid w:val="00D26EDB"/>
    <w:rsid w:val="00D26F7F"/>
    <w:rsid w:val="00D275D8"/>
    <w:rsid w:val="00D276FE"/>
    <w:rsid w:val="00D27770"/>
    <w:rsid w:val="00D27777"/>
    <w:rsid w:val="00D277E4"/>
    <w:rsid w:val="00D27E79"/>
    <w:rsid w:val="00D302E4"/>
    <w:rsid w:val="00D3097C"/>
    <w:rsid w:val="00D30A86"/>
    <w:rsid w:val="00D30D8A"/>
    <w:rsid w:val="00D30F45"/>
    <w:rsid w:val="00D31091"/>
    <w:rsid w:val="00D311E8"/>
    <w:rsid w:val="00D319FB"/>
    <w:rsid w:val="00D31A65"/>
    <w:rsid w:val="00D31AB7"/>
    <w:rsid w:val="00D31C2F"/>
    <w:rsid w:val="00D31C96"/>
    <w:rsid w:val="00D31F3E"/>
    <w:rsid w:val="00D32D80"/>
    <w:rsid w:val="00D33061"/>
    <w:rsid w:val="00D332E2"/>
    <w:rsid w:val="00D33466"/>
    <w:rsid w:val="00D33781"/>
    <w:rsid w:val="00D33A6B"/>
    <w:rsid w:val="00D33A94"/>
    <w:rsid w:val="00D33D63"/>
    <w:rsid w:val="00D34050"/>
    <w:rsid w:val="00D342A8"/>
    <w:rsid w:val="00D342F7"/>
    <w:rsid w:val="00D34B99"/>
    <w:rsid w:val="00D34E3A"/>
    <w:rsid w:val="00D35CFF"/>
    <w:rsid w:val="00D36B69"/>
    <w:rsid w:val="00D36DE5"/>
    <w:rsid w:val="00D37250"/>
    <w:rsid w:val="00D37606"/>
    <w:rsid w:val="00D37812"/>
    <w:rsid w:val="00D378B0"/>
    <w:rsid w:val="00D400F5"/>
    <w:rsid w:val="00D40190"/>
    <w:rsid w:val="00D401EF"/>
    <w:rsid w:val="00D40B32"/>
    <w:rsid w:val="00D40CF8"/>
    <w:rsid w:val="00D40EAB"/>
    <w:rsid w:val="00D410E7"/>
    <w:rsid w:val="00D4152D"/>
    <w:rsid w:val="00D4192C"/>
    <w:rsid w:val="00D419F5"/>
    <w:rsid w:val="00D41E2E"/>
    <w:rsid w:val="00D429C6"/>
    <w:rsid w:val="00D434A6"/>
    <w:rsid w:val="00D43A3C"/>
    <w:rsid w:val="00D43B44"/>
    <w:rsid w:val="00D43B8D"/>
    <w:rsid w:val="00D43E10"/>
    <w:rsid w:val="00D43EF3"/>
    <w:rsid w:val="00D4403D"/>
    <w:rsid w:val="00D44308"/>
    <w:rsid w:val="00D4463C"/>
    <w:rsid w:val="00D448C6"/>
    <w:rsid w:val="00D44C1B"/>
    <w:rsid w:val="00D44F3A"/>
    <w:rsid w:val="00D4512A"/>
    <w:rsid w:val="00D45237"/>
    <w:rsid w:val="00D454C6"/>
    <w:rsid w:val="00D461B0"/>
    <w:rsid w:val="00D4654B"/>
    <w:rsid w:val="00D466E4"/>
    <w:rsid w:val="00D46D23"/>
    <w:rsid w:val="00D4723D"/>
    <w:rsid w:val="00D473B7"/>
    <w:rsid w:val="00D47560"/>
    <w:rsid w:val="00D47BC5"/>
    <w:rsid w:val="00D47EAF"/>
    <w:rsid w:val="00D47FDE"/>
    <w:rsid w:val="00D501DA"/>
    <w:rsid w:val="00D50357"/>
    <w:rsid w:val="00D50BDE"/>
    <w:rsid w:val="00D50BE0"/>
    <w:rsid w:val="00D50CF5"/>
    <w:rsid w:val="00D512A7"/>
    <w:rsid w:val="00D51480"/>
    <w:rsid w:val="00D515C5"/>
    <w:rsid w:val="00D51729"/>
    <w:rsid w:val="00D51739"/>
    <w:rsid w:val="00D526AD"/>
    <w:rsid w:val="00D52FE9"/>
    <w:rsid w:val="00D530D0"/>
    <w:rsid w:val="00D5374E"/>
    <w:rsid w:val="00D54356"/>
    <w:rsid w:val="00D54A44"/>
    <w:rsid w:val="00D54B6A"/>
    <w:rsid w:val="00D54E1E"/>
    <w:rsid w:val="00D55247"/>
    <w:rsid w:val="00D55469"/>
    <w:rsid w:val="00D55D6B"/>
    <w:rsid w:val="00D55EFB"/>
    <w:rsid w:val="00D56FE1"/>
    <w:rsid w:val="00D5735D"/>
    <w:rsid w:val="00D5743E"/>
    <w:rsid w:val="00D576DC"/>
    <w:rsid w:val="00D57D10"/>
    <w:rsid w:val="00D57DC3"/>
    <w:rsid w:val="00D60449"/>
    <w:rsid w:val="00D60732"/>
    <w:rsid w:val="00D60AC9"/>
    <w:rsid w:val="00D60DAE"/>
    <w:rsid w:val="00D6112D"/>
    <w:rsid w:val="00D61762"/>
    <w:rsid w:val="00D61B20"/>
    <w:rsid w:val="00D61B44"/>
    <w:rsid w:val="00D61C6C"/>
    <w:rsid w:val="00D61C71"/>
    <w:rsid w:val="00D6201D"/>
    <w:rsid w:val="00D62C86"/>
    <w:rsid w:val="00D62C9A"/>
    <w:rsid w:val="00D6318D"/>
    <w:rsid w:val="00D63224"/>
    <w:rsid w:val="00D63C1B"/>
    <w:rsid w:val="00D642B5"/>
    <w:rsid w:val="00D6432C"/>
    <w:rsid w:val="00D645D9"/>
    <w:rsid w:val="00D64992"/>
    <w:rsid w:val="00D64BD0"/>
    <w:rsid w:val="00D64E02"/>
    <w:rsid w:val="00D64F50"/>
    <w:rsid w:val="00D65655"/>
    <w:rsid w:val="00D65CA3"/>
    <w:rsid w:val="00D65FB3"/>
    <w:rsid w:val="00D660DC"/>
    <w:rsid w:val="00D66437"/>
    <w:rsid w:val="00D671B9"/>
    <w:rsid w:val="00D67B1C"/>
    <w:rsid w:val="00D67E13"/>
    <w:rsid w:val="00D7029C"/>
    <w:rsid w:val="00D70CE3"/>
    <w:rsid w:val="00D71066"/>
    <w:rsid w:val="00D71650"/>
    <w:rsid w:val="00D71D48"/>
    <w:rsid w:val="00D71ED4"/>
    <w:rsid w:val="00D72102"/>
    <w:rsid w:val="00D72525"/>
    <w:rsid w:val="00D72666"/>
    <w:rsid w:val="00D72956"/>
    <w:rsid w:val="00D729C3"/>
    <w:rsid w:val="00D7336E"/>
    <w:rsid w:val="00D737F1"/>
    <w:rsid w:val="00D738AC"/>
    <w:rsid w:val="00D74092"/>
    <w:rsid w:val="00D7427A"/>
    <w:rsid w:val="00D74833"/>
    <w:rsid w:val="00D7491E"/>
    <w:rsid w:val="00D7530F"/>
    <w:rsid w:val="00D7536C"/>
    <w:rsid w:val="00D753BA"/>
    <w:rsid w:val="00D75ED0"/>
    <w:rsid w:val="00D760B4"/>
    <w:rsid w:val="00D80030"/>
    <w:rsid w:val="00D80092"/>
    <w:rsid w:val="00D8025F"/>
    <w:rsid w:val="00D803F8"/>
    <w:rsid w:val="00D806E0"/>
    <w:rsid w:val="00D80F87"/>
    <w:rsid w:val="00D81320"/>
    <w:rsid w:val="00D81D37"/>
    <w:rsid w:val="00D820D5"/>
    <w:rsid w:val="00D825A2"/>
    <w:rsid w:val="00D8278E"/>
    <w:rsid w:val="00D83609"/>
    <w:rsid w:val="00D840EB"/>
    <w:rsid w:val="00D84210"/>
    <w:rsid w:val="00D84527"/>
    <w:rsid w:val="00D84E88"/>
    <w:rsid w:val="00D854DF"/>
    <w:rsid w:val="00D860C5"/>
    <w:rsid w:val="00D8679A"/>
    <w:rsid w:val="00D86A86"/>
    <w:rsid w:val="00D86DB6"/>
    <w:rsid w:val="00D873D7"/>
    <w:rsid w:val="00D8742B"/>
    <w:rsid w:val="00D87510"/>
    <w:rsid w:val="00D8753B"/>
    <w:rsid w:val="00D879D2"/>
    <w:rsid w:val="00D87C24"/>
    <w:rsid w:val="00D908E5"/>
    <w:rsid w:val="00D91050"/>
    <w:rsid w:val="00D91396"/>
    <w:rsid w:val="00D91680"/>
    <w:rsid w:val="00D917AB"/>
    <w:rsid w:val="00D91ABE"/>
    <w:rsid w:val="00D91D5F"/>
    <w:rsid w:val="00D91DE6"/>
    <w:rsid w:val="00D91ECF"/>
    <w:rsid w:val="00D9260A"/>
    <w:rsid w:val="00D92719"/>
    <w:rsid w:val="00D932F1"/>
    <w:rsid w:val="00D93394"/>
    <w:rsid w:val="00D9360E"/>
    <w:rsid w:val="00D93703"/>
    <w:rsid w:val="00D9378E"/>
    <w:rsid w:val="00D9427C"/>
    <w:rsid w:val="00D94C32"/>
    <w:rsid w:val="00D95262"/>
    <w:rsid w:val="00D95A59"/>
    <w:rsid w:val="00D9608B"/>
    <w:rsid w:val="00D964B4"/>
    <w:rsid w:val="00D9662C"/>
    <w:rsid w:val="00D96808"/>
    <w:rsid w:val="00D96926"/>
    <w:rsid w:val="00D9754A"/>
    <w:rsid w:val="00D977F3"/>
    <w:rsid w:val="00D978D2"/>
    <w:rsid w:val="00D9799D"/>
    <w:rsid w:val="00DA02BE"/>
    <w:rsid w:val="00DA0DDF"/>
    <w:rsid w:val="00DA1B00"/>
    <w:rsid w:val="00DA1E01"/>
    <w:rsid w:val="00DA223F"/>
    <w:rsid w:val="00DA2487"/>
    <w:rsid w:val="00DA291C"/>
    <w:rsid w:val="00DA2AB4"/>
    <w:rsid w:val="00DA3B23"/>
    <w:rsid w:val="00DA3B50"/>
    <w:rsid w:val="00DA3C3C"/>
    <w:rsid w:val="00DA3D46"/>
    <w:rsid w:val="00DA46EF"/>
    <w:rsid w:val="00DA490D"/>
    <w:rsid w:val="00DA4A52"/>
    <w:rsid w:val="00DA4C45"/>
    <w:rsid w:val="00DA4EAD"/>
    <w:rsid w:val="00DA548A"/>
    <w:rsid w:val="00DA5490"/>
    <w:rsid w:val="00DA54CA"/>
    <w:rsid w:val="00DA587A"/>
    <w:rsid w:val="00DA5DEA"/>
    <w:rsid w:val="00DA634A"/>
    <w:rsid w:val="00DA6447"/>
    <w:rsid w:val="00DA6CAC"/>
    <w:rsid w:val="00DA714C"/>
    <w:rsid w:val="00DA736E"/>
    <w:rsid w:val="00DA7810"/>
    <w:rsid w:val="00DA79A6"/>
    <w:rsid w:val="00DA79B0"/>
    <w:rsid w:val="00DA7B5A"/>
    <w:rsid w:val="00DB1307"/>
    <w:rsid w:val="00DB1594"/>
    <w:rsid w:val="00DB1612"/>
    <w:rsid w:val="00DB1795"/>
    <w:rsid w:val="00DB199B"/>
    <w:rsid w:val="00DB1E9C"/>
    <w:rsid w:val="00DB2160"/>
    <w:rsid w:val="00DB21CB"/>
    <w:rsid w:val="00DB2BE8"/>
    <w:rsid w:val="00DB307F"/>
    <w:rsid w:val="00DB317F"/>
    <w:rsid w:val="00DB3830"/>
    <w:rsid w:val="00DB3914"/>
    <w:rsid w:val="00DB3B38"/>
    <w:rsid w:val="00DB4719"/>
    <w:rsid w:val="00DB48F8"/>
    <w:rsid w:val="00DB53F5"/>
    <w:rsid w:val="00DB5880"/>
    <w:rsid w:val="00DB5CD6"/>
    <w:rsid w:val="00DB5D5A"/>
    <w:rsid w:val="00DB659C"/>
    <w:rsid w:val="00DB68C9"/>
    <w:rsid w:val="00DB6F52"/>
    <w:rsid w:val="00DB7018"/>
    <w:rsid w:val="00DB757A"/>
    <w:rsid w:val="00DC08B2"/>
    <w:rsid w:val="00DC0B7A"/>
    <w:rsid w:val="00DC0CAB"/>
    <w:rsid w:val="00DC0F3B"/>
    <w:rsid w:val="00DC1540"/>
    <w:rsid w:val="00DC1DF1"/>
    <w:rsid w:val="00DC1E4E"/>
    <w:rsid w:val="00DC2DC4"/>
    <w:rsid w:val="00DC3944"/>
    <w:rsid w:val="00DC3AFC"/>
    <w:rsid w:val="00DC3B8F"/>
    <w:rsid w:val="00DC3CD8"/>
    <w:rsid w:val="00DC4069"/>
    <w:rsid w:val="00DC46F8"/>
    <w:rsid w:val="00DC48D8"/>
    <w:rsid w:val="00DC4988"/>
    <w:rsid w:val="00DC5BB2"/>
    <w:rsid w:val="00DC5DA8"/>
    <w:rsid w:val="00DC5DC4"/>
    <w:rsid w:val="00DC6546"/>
    <w:rsid w:val="00DC6CFE"/>
    <w:rsid w:val="00DC6DA1"/>
    <w:rsid w:val="00DC7405"/>
    <w:rsid w:val="00DC7450"/>
    <w:rsid w:val="00DC77DA"/>
    <w:rsid w:val="00DC7A7E"/>
    <w:rsid w:val="00DD04B9"/>
    <w:rsid w:val="00DD0B02"/>
    <w:rsid w:val="00DD0BA2"/>
    <w:rsid w:val="00DD0F74"/>
    <w:rsid w:val="00DD115B"/>
    <w:rsid w:val="00DD2DA2"/>
    <w:rsid w:val="00DD31B0"/>
    <w:rsid w:val="00DD32E3"/>
    <w:rsid w:val="00DD38F8"/>
    <w:rsid w:val="00DD3ACF"/>
    <w:rsid w:val="00DD3D9F"/>
    <w:rsid w:val="00DD3F5E"/>
    <w:rsid w:val="00DD48A6"/>
    <w:rsid w:val="00DD4D52"/>
    <w:rsid w:val="00DD535A"/>
    <w:rsid w:val="00DD544E"/>
    <w:rsid w:val="00DD5522"/>
    <w:rsid w:val="00DD58D6"/>
    <w:rsid w:val="00DD5E23"/>
    <w:rsid w:val="00DD68DE"/>
    <w:rsid w:val="00DD6C40"/>
    <w:rsid w:val="00DD6E15"/>
    <w:rsid w:val="00DD7388"/>
    <w:rsid w:val="00DD79D4"/>
    <w:rsid w:val="00DE0247"/>
    <w:rsid w:val="00DE0670"/>
    <w:rsid w:val="00DE07AD"/>
    <w:rsid w:val="00DE0E45"/>
    <w:rsid w:val="00DE1D3C"/>
    <w:rsid w:val="00DE2688"/>
    <w:rsid w:val="00DE2A44"/>
    <w:rsid w:val="00DE314F"/>
    <w:rsid w:val="00DE327A"/>
    <w:rsid w:val="00DE35F3"/>
    <w:rsid w:val="00DE3860"/>
    <w:rsid w:val="00DE3B52"/>
    <w:rsid w:val="00DE4067"/>
    <w:rsid w:val="00DE4AD7"/>
    <w:rsid w:val="00DE5B66"/>
    <w:rsid w:val="00DE5B85"/>
    <w:rsid w:val="00DE618B"/>
    <w:rsid w:val="00DE6701"/>
    <w:rsid w:val="00DE6750"/>
    <w:rsid w:val="00DE67C4"/>
    <w:rsid w:val="00DE6880"/>
    <w:rsid w:val="00DE6B70"/>
    <w:rsid w:val="00DE7027"/>
    <w:rsid w:val="00DE7262"/>
    <w:rsid w:val="00DE79A6"/>
    <w:rsid w:val="00DE7A54"/>
    <w:rsid w:val="00DF014A"/>
    <w:rsid w:val="00DF0E79"/>
    <w:rsid w:val="00DF157B"/>
    <w:rsid w:val="00DF1AA6"/>
    <w:rsid w:val="00DF2A4B"/>
    <w:rsid w:val="00DF2EA6"/>
    <w:rsid w:val="00DF379B"/>
    <w:rsid w:val="00DF47B4"/>
    <w:rsid w:val="00DF55CC"/>
    <w:rsid w:val="00DF5607"/>
    <w:rsid w:val="00DF5E61"/>
    <w:rsid w:val="00DF5EB6"/>
    <w:rsid w:val="00DF6300"/>
    <w:rsid w:val="00DF652D"/>
    <w:rsid w:val="00DF690F"/>
    <w:rsid w:val="00DF6F65"/>
    <w:rsid w:val="00DF6FCC"/>
    <w:rsid w:val="00DF70F1"/>
    <w:rsid w:val="00DF788C"/>
    <w:rsid w:val="00E004A0"/>
    <w:rsid w:val="00E005C1"/>
    <w:rsid w:val="00E00601"/>
    <w:rsid w:val="00E00AB9"/>
    <w:rsid w:val="00E00B4B"/>
    <w:rsid w:val="00E00F7C"/>
    <w:rsid w:val="00E01477"/>
    <w:rsid w:val="00E01974"/>
    <w:rsid w:val="00E01B19"/>
    <w:rsid w:val="00E01DD5"/>
    <w:rsid w:val="00E01E6C"/>
    <w:rsid w:val="00E0218F"/>
    <w:rsid w:val="00E022F9"/>
    <w:rsid w:val="00E02544"/>
    <w:rsid w:val="00E027CE"/>
    <w:rsid w:val="00E02D82"/>
    <w:rsid w:val="00E034BF"/>
    <w:rsid w:val="00E03783"/>
    <w:rsid w:val="00E0409C"/>
    <w:rsid w:val="00E04284"/>
    <w:rsid w:val="00E04773"/>
    <w:rsid w:val="00E04AC1"/>
    <w:rsid w:val="00E04F85"/>
    <w:rsid w:val="00E05437"/>
    <w:rsid w:val="00E05FC4"/>
    <w:rsid w:val="00E0653B"/>
    <w:rsid w:val="00E0698E"/>
    <w:rsid w:val="00E06C00"/>
    <w:rsid w:val="00E07484"/>
    <w:rsid w:val="00E074FE"/>
    <w:rsid w:val="00E07E37"/>
    <w:rsid w:val="00E07FE7"/>
    <w:rsid w:val="00E10199"/>
    <w:rsid w:val="00E1042D"/>
    <w:rsid w:val="00E10A0B"/>
    <w:rsid w:val="00E10CA5"/>
    <w:rsid w:val="00E116C8"/>
    <w:rsid w:val="00E11911"/>
    <w:rsid w:val="00E11EE9"/>
    <w:rsid w:val="00E1275E"/>
    <w:rsid w:val="00E12B2C"/>
    <w:rsid w:val="00E13A3C"/>
    <w:rsid w:val="00E13AB0"/>
    <w:rsid w:val="00E13CE6"/>
    <w:rsid w:val="00E1431F"/>
    <w:rsid w:val="00E149EC"/>
    <w:rsid w:val="00E15774"/>
    <w:rsid w:val="00E15AAA"/>
    <w:rsid w:val="00E15F1E"/>
    <w:rsid w:val="00E15F7F"/>
    <w:rsid w:val="00E16296"/>
    <w:rsid w:val="00E1651B"/>
    <w:rsid w:val="00E16D3A"/>
    <w:rsid w:val="00E17D35"/>
    <w:rsid w:val="00E17E0F"/>
    <w:rsid w:val="00E17EEC"/>
    <w:rsid w:val="00E17F89"/>
    <w:rsid w:val="00E2065E"/>
    <w:rsid w:val="00E207FF"/>
    <w:rsid w:val="00E20FF4"/>
    <w:rsid w:val="00E213B5"/>
    <w:rsid w:val="00E21B0C"/>
    <w:rsid w:val="00E21D7A"/>
    <w:rsid w:val="00E224DC"/>
    <w:rsid w:val="00E22922"/>
    <w:rsid w:val="00E229C4"/>
    <w:rsid w:val="00E23802"/>
    <w:rsid w:val="00E23842"/>
    <w:rsid w:val="00E23925"/>
    <w:rsid w:val="00E23F2A"/>
    <w:rsid w:val="00E24354"/>
    <w:rsid w:val="00E24801"/>
    <w:rsid w:val="00E24C0A"/>
    <w:rsid w:val="00E24FF8"/>
    <w:rsid w:val="00E251A6"/>
    <w:rsid w:val="00E2526D"/>
    <w:rsid w:val="00E2549A"/>
    <w:rsid w:val="00E2549C"/>
    <w:rsid w:val="00E256EC"/>
    <w:rsid w:val="00E2595B"/>
    <w:rsid w:val="00E25B23"/>
    <w:rsid w:val="00E26615"/>
    <w:rsid w:val="00E26816"/>
    <w:rsid w:val="00E27455"/>
    <w:rsid w:val="00E27998"/>
    <w:rsid w:val="00E27AF1"/>
    <w:rsid w:val="00E30713"/>
    <w:rsid w:val="00E30862"/>
    <w:rsid w:val="00E30C8D"/>
    <w:rsid w:val="00E30EAA"/>
    <w:rsid w:val="00E3114E"/>
    <w:rsid w:val="00E31268"/>
    <w:rsid w:val="00E31C70"/>
    <w:rsid w:val="00E32203"/>
    <w:rsid w:val="00E32330"/>
    <w:rsid w:val="00E33BA3"/>
    <w:rsid w:val="00E33D7B"/>
    <w:rsid w:val="00E33D99"/>
    <w:rsid w:val="00E33E05"/>
    <w:rsid w:val="00E3427C"/>
    <w:rsid w:val="00E346F1"/>
    <w:rsid w:val="00E34E5F"/>
    <w:rsid w:val="00E35083"/>
    <w:rsid w:val="00E350C2"/>
    <w:rsid w:val="00E35145"/>
    <w:rsid w:val="00E3545C"/>
    <w:rsid w:val="00E35800"/>
    <w:rsid w:val="00E359A9"/>
    <w:rsid w:val="00E35E3E"/>
    <w:rsid w:val="00E369F8"/>
    <w:rsid w:val="00E369FB"/>
    <w:rsid w:val="00E372A1"/>
    <w:rsid w:val="00E374A9"/>
    <w:rsid w:val="00E40098"/>
    <w:rsid w:val="00E401B9"/>
    <w:rsid w:val="00E4045C"/>
    <w:rsid w:val="00E40FA4"/>
    <w:rsid w:val="00E41D46"/>
    <w:rsid w:val="00E41E4C"/>
    <w:rsid w:val="00E42052"/>
    <w:rsid w:val="00E425D8"/>
    <w:rsid w:val="00E42820"/>
    <w:rsid w:val="00E42A4D"/>
    <w:rsid w:val="00E43462"/>
    <w:rsid w:val="00E43805"/>
    <w:rsid w:val="00E43AFD"/>
    <w:rsid w:val="00E44555"/>
    <w:rsid w:val="00E44C7D"/>
    <w:rsid w:val="00E45437"/>
    <w:rsid w:val="00E4596F"/>
    <w:rsid w:val="00E46DB0"/>
    <w:rsid w:val="00E4715A"/>
    <w:rsid w:val="00E47213"/>
    <w:rsid w:val="00E4779F"/>
    <w:rsid w:val="00E477AC"/>
    <w:rsid w:val="00E47A82"/>
    <w:rsid w:val="00E500A8"/>
    <w:rsid w:val="00E5068F"/>
    <w:rsid w:val="00E5124F"/>
    <w:rsid w:val="00E5144E"/>
    <w:rsid w:val="00E52167"/>
    <w:rsid w:val="00E52C09"/>
    <w:rsid w:val="00E52D47"/>
    <w:rsid w:val="00E53361"/>
    <w:rsid w:val="00E533EB"/>
    <w:rsid w:val="00E536CE"/>
    <w:rsid w:val="00E538B2"/>
    <w:rsid w:val="00E53C04"/>
    <w:rsid w:val="00E53CDF"/>
    <w:rsid w:val="00E54203"/>
    <w:rsid w:val="00E5446E"/>
    <w:rsid w:val="00E54A62"/>
    <w:rsid w:val="00E54A8A"/>
    <w:rsid w:val="00E54B10"/>
    <w:rsid w:val="00E54CF9"/>
    <w:rsid w:val="00E55073"/>
    <w:rsid w:val="00E551AA"/>
    <w:rsid w:val="00E5538B"/>
    <w:rsid w:val="00E558FD"/>
    <w:rsid w:val="00E55964"/>
    <w:rsid w:val="00E55997"/>
    <w:rsid w:val="00E55B05"/>
    <w:rsid w:val="00E55EE6"/>
    <w:rsid w:val="00E56006"/>
    <w:rsid w:val="00E5711E"/>
    <w:rsid w:val="00E572A6"/>
    <w:rsid w:val="00E5783C"/>
    <w:rsid w:val="00E60874"/>
    <w:rsid w:val="00E60EEC"/>
    <w:rsid w:val="00E60F76"/>
    <w:rsid w:val="00E61FD9"/>
    <w:rsid w:val="00E62333"/>
    <w:rsid w:val="00E62D34"/>
    <w:rsid w:val="00E6373E"/>
    <w:rsid w:val="00E63821"/>
    <w:rsid w:val="00E63A65"/>
    <w:rsid w:val="00E63B6C"/>
    <w:rsid w:val="00E640D1"/>
    <w:rsid w:val="00E64A49"/>
    <w:rsid w:val="00E64B2A"/>
    <w:rsid w:val="00E65085"/>
    <w:rsid w:val="00E65340"/>
    <w:rsid w:val="00E666DC"/>
    <w:rsid w:val="00E66845"/>
    <w:rsid w:val="00E66DBB"/>
    <w:rsid w:val="00E67250"/>
    <w:rsid w:val="00E67545"/>
    <w:rsid w:val="00E67F80"/>
    <w:rsid w:val="00E705DA"/>
    <w:rsid w:val="00E705E3"/>
    <w:rsid w:val="00E709FE"/>
    <w:rsid w:val="00E71068"/>
    <w:rsid w:val="00E71223"/>
    <w:rsid w:val="00E71C56"/>
    <w:rsid w:val="00E72140"/>
    <w:rsid w:val="00E72673"/>
    <w:rsid w:val="00E730B5"/>
    <w:rsid w:val="00E7375F"/>
    <w:rsid w:val="00E73848"/>
    <w:rsid w:val="00E7405D"/>
    <w:rsid w:val="00E74313"/>
    <w:rsid w:val="00E745F2"/>
    <w:rsid w:val="00E74E5A"/>
    <w:rsid w:val="00E74FA7"/>
    <w:rsid w:val="00E75523"/>
    <w:rsid w:val="00E75E54"/>
    <w:rsid w:val="00E76227"/>
    <w:rsid w:val="00E762A4"/>
    <w:rsid w:val="00E764DB"/>
    <w:rsid w:val="00E76A1A"/>
    <w:rsid w:val="00E76AA2"/>
    <w:rsid w:val="00E76DC8"/>
    <w:rsid w:val="00E76DE2"/>
    <w:rsid w:val="00E776E4"/>
    <w:rsid w:val="00E77A4B"/>
    <w:rsid w:val="00E77BCC"/>
    <w:rsid w:val="00E803DE"/>
    <w:rsid w:val="00E806E9"/>
    <w:rsid w:val="00E8086D"/>
    <w:rsid w:val="00E809BE"/>
    <w:rsid w:val="00E809CF"/>
    <w:rsid w:val="00E809F4"/>
    <w:rsid w:val="00E80C0C"/>
    <w:rsid w:val="00E811BF"/>
    <w:rsid w:val="00E81682"/>
    <w:rsid w:val="00E81745"/>
    <w:rsid w:val="00E819D8"/>
    <w:rsid w:val="00E8299E"/>
    <w:rsid w:val="00E82C2D"/>
    <w:rsid w:val="00E82E41"/>
    <w:rsid w:val="00E82E44"/>
    <w:rsid w:val="00E8326F"/>
    <w:rsid w:val="00E84007"/>
    <w:rsid w:val="00E8425F"/>
    <w:rsid w:val="00E84537"/>
    <w:rsid w:val="00E847A8"/>
    <w:rsid w:val="00E8487C"/>
    <w:rsid w:val="00E84A5C"/>
    <w:rsid w:val="00E84BAB"/>
    <w:rsid w:val="00E84DB0"/>
    <w:rsid w:val="00E84E00"/>
    <w:rsid w:val="00E85BD7"/>
    <w:rsid w:val="00E86256"/>
    <w:rsid w:val="00E867BB"/>
    <w:rsid w:val="00E8690A"/>
    <w:rsid w:val="00E86BE1"/>
    <w:rsid w:val="00E86EA6"/>
    <w:rsid w:val="00E86EDA"/>
    <w:rsid w:val="00E86FAB"/>
    <w:rsid w:val="00E872AB"/>
    <w:rsid w:val="00E87707"/>
    <w:rsid w:val="00E87942"/>
    <w:rsid w:val="00E87948"/>
    <w:rsid w:val="00E87D85"/>
    <w:rsid w:val="00E87E15"/>
    <w:rsid w:val="00E87E80"/>
    <w:rsid w:val="00E87EE3"/>
    <w:rsid w:val="00E87FF9"/>
    <w:rsid w:val="00E905E4"/>
    <w:rsid w:val="00E90B3F"/>
    <w:rsid w:val="00E90C34"/>
    <w:rsid w:val="00E90DA5"/>
    <w:rsid w:val="00E90E6C"/>
    <w:rsid w:val="00E91240"/>
    <w:rsid w:val="00E91770"/>
    <w:rsid w:val="00E91E88"/>
    <w:rsid w:val="00E91EAA"/>
    <w:rsid w:val="00E920D4"/>
    <w:rsid w:val="00E9218A"/>
    <w:rsid w:val="00E928B5"/>
    <w:rsid w:val="00E92B55"/>
    <w:rsid w:val="00E92C75"/>
    <w:rsid w:val="00E932CD"/>
    <w:rsid w:val="00E93417"/>
    <w:rsid w:val="00E935FE"/>
    <w:rsid w:val="00E93724"/>
    <w:rsid w:val="00E93FD9"/>
    <w:rsid w:val="00E93FFF"/>
    <w:rsid w:val="00E9403F"/>
    <w:rsid w:val="00E9434F"/>
    <w:rsid w:val="00E943F9"/>
    <w:rsid w:val="00E94449"/>
    <w:rsid w:val="00E94709"/>
    <w:rsid w:val="00E94D13"/>
    <w:rsid w:val="00E94E3D"/>
    <w:rsid w:val="00E95892"/>
    <w:rsid w:val="00E95967"/>
    <w:rsid w:val="00E9636E"/>
    <w:rsid w:val="00E96976"/>
    <w:rsid w:val="00E969D7"/>
    <w:rsid w:val="00E96BCA"/>
    <w:rsid w:val="00E96CA5"/>
    <w:rsid w:val="00E973A1"/>
    <w:rsid w:val="00E9747E"/>
    <w:rsid w:val="00E974CB"/>
    <w:rsid w:val="00E979A4"/>
    <w:rsid w:val="00E97B85"/>
    <w:rsid w:val="00EA1431"/>
    <w:rsid w:val="00EA1539"/>
    <w:rsid w:val="00EA18DB"/>
    <w:rsid w:val="00EA1B16"/>
    <w:rsid w:val="00EA243F"/>
    <w:rsid w:val="00EA2A91"/>
    <w:rsid w:val="00EA2CA6"/>
    <w:rsid w:val="00EA2CEC"/>
    <w:rsid w:val="00EA2D87"/>
    <w:rsid w:val="00EA2D93"/>
    <w:rsid w:val="00EA3016"/>
    <w:rsid w:val="00EA3246"/>
    <w:rsid w:val="00EA340D"/>
    <w:rsid w:val="00EA3AA4"/>
    <w:rsid w:val="00EA3BBC"/>
    <w:rsid w:val="00EA40AE"/>
    <w:rsid w:val="00EA4B59"/>
    <w:rsid w:val="00EA50B5"/>
    <w:rsid w:val="00EA5BBB"/>
    <w:rsid w:val="00EA6097"/>
    <w:rsid w:val="00EA630C"/>
    <w:rsid w:val="00EA690D"/>
    <w:rsid w:val="00EA6945"/>
    <w:rsid w:val="00EA6A8D"/>
    <w:rsid w:val="00EA7558"/>
    <w:rsid w:val="00EA7EF8"/>
    <w:rsid w:val="00EB0710"/>
    <w:rsid w:val="00EB09C7"/>
    <w:rsid w:val="00EB09EE"/>
    <w:rsid w:val="00EB0B16"/>
    <w:rsid w:val="00EB0CF2"/>
    <w:rsid w:val="00EB0E8E"/>
    <w:rsid w:val="00EB19E3"/>
    <w:rsid w:val="00EB219D"/>
    <w:rsid w:val="00EB2231"/>
    <w:rsid w:val="00EB2266"/>
    <w:rsid w:val="00EB2535"/>
    <w:rsid w:val="00EB2714"/>
    <w:rsid w:val="00EB2741"/>
    <w:rsid w:val="00EB28A9"/>
    <w:rsid w:val="00EB2BF8"/>
    <w:rsid w:val="00EB2C2D"/>
    <w:rsid w:val="00EB2F9C"/>
    <w:rsid w:val="00EB3368"/>
    <w:rsid w:val="00EB359A"/>
    <w:rsid w:val="00EB3687"/>
    <w:rsid w:val="00EB39B7"/>
    <w:rsid w:val="00EB3B21"/>
    <w:rsid w:val="00EB3E20"/>
    <w:rsid w:val="00EB4801"/>
    <w:rsid w:val="00EB4929"/>
    <w:rsid w:val="00EB53B1"/>
    <w:rsid w:val="00EB5DA2"/>
    <w:rsid w:val="00EB620C"/>
    <w:rsid w:val="00EB686A"/>
    <w:rsid w:val="00EB6A58"/>
    <w:rsid w:val="00EB6B13"/>
    <w:rsid w:val="00EB6D41"/>
    <w:rsid w:val="00EB786C"/>
    <w:rsid w:val="00EC004E"/>
    <w:rsid w:val="00EC0484"/>
    <w:rsid w:val="00EC090E"/>
    <w:rsid w:val="00EC3283"/>
    <w:rsid w:val="00EC3292"/>
    <w:rsid w:val="00EC35E1"/>
    <w:rsid w:val="00EC4239"/>
    <w:rsid w:val="00EC428F"/>
    <w:rsid w:val="00EC463C"/>
    <w:rsid w:val="00EC4DEC"/>
    <w:rsid w:val="00EC4EE0"/>
    <w:rsid w:val="00EC52E4"/>
    <w:rsid w:val="00EC5845"/>
    <w:rsid w:val="00EC5D77"/>
    <w:rsid w:val="00EC5E0A"/>
    <w:rsid w:val="00EC71C6"/>
    <w:rsid w:val="00EC7248"/>
    <w:rsid w:val="00EC7B35"/>
    <w:rsid w:val="00EC7D2E"/>
    <w:rsid w:val="00ED0286"/>
    <w:rsid w:val="00ED0316"/>
    <w:rsid w:val="00ED0EA8"/>
    <w:rsid w:val="00ED0EC5"/>
    <w:rsid w:val="00ED15F9"/>
    <w:rsid w:val="00ED175D"/>
    <w:rsid w:val="00ED1918"/>
    <w:rsid w:val="00ED1FB2"/>
    <w:rsid w:val="00ED20A1"/>
    <w:rsid w:val="00ED2766"/>
    <w:rsid w:val="00ED2F59"/>
    <w:rsid w:val="00ED4006"/>
    <w:rsid w:val="00ED4A41"/>
    <w:rsid w:val="00ED510A"/>
    <w:rsid w:val="00ED5295"/>
    <w:rsid w:val="00ED5438"/>
    <w:rsid w:val="00ED5967"/>
    <w:rsid w:val="00ED5BE8"/>
    <w:rsid w:val="00ED5C53"/>
    <w:rsid w:val="00ED64C8"/>
    <w:rsid w:val="00ED651C"/>
    <w:rsid w:val="00ED6B0E"/>
    <w:rsid w:val="00ED6BFA"/>
    <w:rsid w:val="00ED6C3A"/>
    <w:rsid w:val="00ED7591"/>
    <w:rsid w:val="00EE05C3"/>
    <w:rsid w:val="00EE0E78"/>
    <w:rsid w:val="00EE0EF5"/>
    <w:rsid w:val="00EE1183"/>
    <w:rsid w:val="00EE1231"/>
    <w:rsid w:val="00EE14DC"/>
    <w:rsid w:val="00EE19B6"/>
    <w:rsid w:val="00EE19D3"/>
    <w:rsid w:val="00EE1A1D"/>
    <w:rsid w:val="00EE1CDC"/>
    <w:rsid w:val="00EE2195"/>
    <w:rsid w:val="00EE238E"/>
    <w:rsid w:val="00EE23C5"/>
    <w:rsid w:val="00EE26A8"/>
    <w:rsid w:val="00EE2B15"/>
    <w:rsid w:val="00EE2C97"/>
    <w:rsid w:val="00EE31B9"/>
    <w:rsid w:val="00EE3474"/>
    <w:rsid w:val="00EE3783"/>
    <w:rsid w:val="00EE3A36"/>
    <w:rsid w:val="00EE409C"/>
    <w:rsid w:val="00EE4B4A"/>
    <w:rsid w:val="00EE54FC"/>
    <w:rsid w:val="00EE5E0E"/>
    <w:rsid w:val="00EE6102"/>
    <w:rsid w:val="00EE6BE1"/>
    <w:rsid w:val="00EE6FAB"/>
    <w:rsid w:val="00EE70CC"/>
    <w:rsid w:val="00EE7AE5"/>
    <w:rsid w:val="00EE7AE6"/>
    <w:rsid w:val="00EE7FF5"/>
    <w:rsid w:val="00EF01FD"/>
    <w:rsid w:val="00EF0476"/>
    <w:rsid w:val="00EF0492"/>
    <w:rsid w:val="00EF05D8"/>
    <w:rsid w:val="00EF0850"/>
    <w:rsid w:val="00EF10D9"/>
    <w:rsid w:val="00EF1752"/>
    <w:rsid w:val="00EF1814"/>
    <w:rsid w:val="00EF1DEA"/>
    <w:rsid w:val="00EF2058"/>
    <w:rsid w:val="00EF2072"/>
    <w:rsid w:val="00EF2300"/>
    <w:rsid w:val="00EF2B6D"/>
    <w:rsid w:val="00EF3171"/>
    <w:rsid w:val="00EF344A"/>
    <w:rsid w:val="00EF3453"/>
    <w:rsid w:val="00EF4BF8"/>
    <w:rsid w:val="00EF4CAB"/>
    <w:rsid w:val="00EF5236"/>
    <w:rsid w:val="00EF56F7"/>
    <w:rsid w:val="00EF5BD0"/>
    <w:rsid w:val="00EF69A3"/>
    <w:rsid w:val="00EF6B8F"/>
    <w:rsid w:val="00EF7385"/>
    <w:rsid w:val="00EF73F4"/>
    <w:rsid w:val="00EF7C0F"/>
    <w:rsid w:val="00EF7D51"/>
    <w:rsid w:val="00EF7DD4"/>
    <w:rsid w:val="00EF7FC6"/>
    <w:rsid w:val="00EF7FD8"/>
    <w:rsid w:val="00F00002"/>
    <w:rsid w:val="00F000C9"/>
    <w:rsid w:val="00F003A7"/>
    <w:rsid w:val="00F012B2"/>
    <w:rsid w:val="00F01D0E"/>
    <w:rsid w:val="00F01FC8"/>
    <w:rsid w:val="00F0218D"/>
    <w:rsid w:val="00F02323"/>
    <w:rsid w:val="00F02377"/>
    <w:rsid w:val="00F026A3"/>
    <w:rsid w:val="00F0346E"/>
    <w:rsid w:val="00F03E5F"/>
    <w:rsid w:val="00F03F46"/>
    <w:rsid w:val="00F0405D"/>
    <w:rsid w:val="00F04821"/>
    <w:rsid w:val="00F0669D"/>
    <w:rsid w:val="00F06EA6"/>
    <w:rsid w:val="00F0727E"/>
    <w:rsid w:val="00F07B37"/>
    <w:rsid w:val="00F07D1D"/>
    <w:rsid w:val="00F07F8C"/>
    <w:rsid w:val="00F1043C"/>
    <w:rsid w:val="00F1057E"/>
    <w:rsid w:val="00F10B6B"/>
    <w:rsid w:val="00F10C59"/>
    <w:rsid w:val="00F10D1B"/>
    <w:rsid w:val="00F10F0D"/>
    <w:rsid w:val="00F10FAE"/>
    <w:rsid w:val="00F11CA3"/>
    <w:rsid w:val="00F11CAB"/>
    <w:rsid w:val="00F12181"/>
    <w:rsid w:val="00F12B9D"/>
    <w:rsid w:val="00F139DA"/>
    <w:rsid w:val="00F13F91"/>
    <w:rsid w:val="00F14253"/>
    <w:rsid w:val="00F14479"/>
    <w:rsid w:val="00F144F3"/>
    <w:rsid w:val="00F148CC"/>
    <w:rsid w:val="00F14A56"/>
    <w:rsid w:val="00F14C93"/>
    <w:rsid w:val="00F14F44"/>
    <w:rsid w:val="00F15232"/>
    <w:rsid w:val="00F15861"/>
    <w:rsid w:val="00F15F23"/>
    <w:rsid w:val="00F16569"/>
    <w:rsid w:val="00F16DE3"/>
    <w:rsid w:val="00F1799D"/>
    <w:rsid w:val="00F17CB5"/>
    <w:rsid w:val="00F20078"/>
    <w:rsid w:val="00F202CE"/>
    <w:rsid w:val="00F207E5"/>
    <w:rsid w:val="00F20AC6"/>
    <w:rsid w:val="00F22484"/>
    <w:rsid w:val="00F22C03"/>
    <w:rsid w:val="00F23A20"/>
    <w:rsid w:val="00F23AED"/>
    <w:rsid w:val="00F23F92"/>
    <w:rsid w:val="00F24277"/>
    <w:rsid w:val="00F2445B"/>
    <w:rsid w:val="00F2474E"/>
    <w:rsid w:val="00F24A05"/>
    <w:rsid w:val="00F24AA7"/>
    <w:rsid w:val="00F25016"/>
    <w:rsid w:val="00F2518B"/>
    <w:rsid w:val="00F25220"/>
    <w:rsid w:val="00F2563D"/>
    <w:rsid w:val="00F25C6D"/>
    <w:rsid w:val="00F26024"/>
    <w:rsid w:val="00F26542"/>
    <w:rsid w:val="00F265A8"/>
    <w:rsid w:val="00F26B0E"/>
    <w:rsid w:val="00F26B6F"/>
    <w:rsid w:val="00F26BC7"/>
    <w:rsid w:val="00F27370"/>
    <w:rsid w:val="00F27790"/>
    <w:rsid w:val="00F2781C"/>
    <w:rsid w:val="00F278D6"/>
    <w:rsid w:val="00F278F7"/>
    <w:rsid w:val="00F27968"/>
    <w:rsid w:val="00F3005E"/>
    <w:rsid w:val="00F30421"/>
    <w:rsid w:val="00F306A4"/>
    <w:rsid w:val="00F30A3D"/>
    <w:rsid w:val="00F30C8F"/>
    <w:rsid w:val="00F30CD5"/>
    <w:rsid w:val="00F30F14"/>
    <w:rsid w:val="00F31447"/>
    <w:rsid w:val="00F317CB"/>
    <w:rsid w:val="00F32086"/>
    <w:rsid w:val="00F321F5"/>
    <w:rsid w:val="00F32A72"/>
    <w:rsid w:val="00F32A86"/>
    <w:rsid w:val="00F32F63"/>
    <w:rsid w:val="00F332D2"/>
    <w:rsid w:val="00F34269"/>
    <w:rsid w:val="00F34280"/>
    <w:rsid w:val="00F34939"/>
    <w:rsid w:val="00F34D38"/>
    <w:rsid w:val="00F35631"/>
    <w:rsid w:val="00F3577F"/>
    <w:rsid w:val="00F35868"/>
    <w:rsid w:val="00F35CFF"/>
    <w:rsid w:val="00F35E05"/>
    <w:rsid w:val="00F36AB7"/>
    <w:rsid w:val="00F36D76"/>
    <w:rsid w:val="00F370EE"/>
    <w:rsid w:val="00F37207"/>
    <w:rsid w:val="00F37384"/>
    <w:rsid w:val="00F379A5"/>
    <w:rsid w:val="00F37C32"/>
    <w:rsid w:val="00F37DCC"/>
    <w:rsid w:val="00F4008E"/>
    <w:rsid w:val="00F40A65"/>
    <w:rsid w:val="00F40C29"/>
    <w:rsid w:val="00F41150"/>
    <w:rsid w:val="00F417E9"/>
    <w:rsid w:val="00F4205F"/>
    <w:rsid w:val="00F428B3"/>
    <w:rsid w:val="00F42A2C"/>
    <w:rsid w:val="00F42B3B"/>
    <w:rsid w:val="00F42B64"/>
    <w:rsid w:val="00F42C5E"/>
    <w:rsid w:val="00F42D69"/>
    <w:rsid w:val="00F43040"/>
    <w:rsid w:val="00F43D96"/>
    <w:rsid w:val="00F445BC"/>
    <w:rsid w:val="00F44B85"/>
    <w:rsid w:val="00F44F8C"/>
    <w:rsid w:val="00F459F7"/>
    <w:rsid w:val="00F45D77"/>
    <w:rsid w:val="00F46910"/>
    <w:rsid w:val="00F477F4"/>
    <w:rsid w:val="00F506BF"/>
    <w:rsid w:val="00F508A8"/>
    <w:rsid w:val="00F50A37"/>
    <w:rsid w:val="00F50B6C"/>
    <w:rsid w:val="00F50EAB"/>
    <w:rsid w:val="00F513A4"/>
    <w:rsid w:val="00F51821"/>
    <w:rsid w:val="00F51CF8"/>
    <w:rsid w:val="00F52254"/>
    <w:rsid w:val="00F526BF"/>
    <w:rsid w:val="00F527D9"/>
    <w:rsid w:val="00F52AC8"/>
    <w:rsid w:val="00F52C7B"/>
    <w:rsid w:val="00F52CB4"/>
    <w:rsid w:val="00F53055"/>
    <w:rsid w:val="00F53348"/>
    <w:rsid w:val="00F53802"/>
    <w:rsid w:val="00F53B54"/>
    <w:rsid w:val="00F53E5A"/>
    <w:rsid w:val="00F53ECF"/>
    <w:rsid w:val="00F54488"/>
    <w:rsid w:val="00F54576"/>
    <w:rsid w:val="00F54C0F"/>
    <w:rsid w:val="00F54F3D"/>
    <w:rsid w:val="00F5508C"/>
    <w:rsid w:val="00F55139"/>
    <w:rsid w:val="00F552B7"/>
    <w:rsid w:val="00F55724"/>
    <w:rsid w:val="00F55737"/>
    <w:rsid w:val="00F55AD8"/>
    <w:rsid w:val="00F55CC5"/>
    <w:rsid w:val="00F55CF5"/>
    <w:rsid w:val="00F55E55"/>
    <w:rsid w:val="00F56505"/>
    <w:rsid w:val="00F56D1C"/>
    <w:rsid w:val="00F5720A"/>
    <w:rsid w:val="00F57815"/>
    <w:rsid w:val="00F57827"/>
    <w:rsid w:val="00F57D2C"/>
    <w:rsid w:val="00F57F34"/>
    <w:rsid w:val="00F6036C"/>
    <w:rsid w:val="00F604C2"/>
    <w:rsid w:val="00F60B2D"/>
    <w:rsid w:val="00F60FBF"/>
    <w:rsid w:val="00F61061"/>
    <w:rsid w:val="00F6128F"/>
    <w:rsid w:val="00F6221B"/>
    <w:rsid w:val="00F6263C"/>
    <w:rsid w:val="00F62E60"/>
    <w:rsid w:val="00F632DE"/>
    <w:rsid w:val="00F63A30"/>
    <w:rsid w:val="00F64727"/>
    <w:rsid w:val="00F64C19"/>
    <w:rsid w:val="00F65146"/>
    <w:rsid w:val="00F65534"/>
    <w:rsid w:val="00F6597D"/>
    <w:rsid w:val="00F66C3A"/>
    <w:rsid w:val="00F66D38"/>
    <w:rsid w:val="00F66DBB"/>
    <w:rsid w:val="00F67053"/>
    <w:rsid w:val="00F67923"/>
    <w:rsid w:val="00F67D61"/>
    <w:rsid w:val="00F705FE"/>
    <w:rsid w:val="00F70830"/>
    <w:rsid w:val="00F70974"/>
    <w:rsid w:val="00F70A97"/>
    <w:rsid w:val="00F70B51"/>
    <w:rsid w:val="00F70EE2"/>
    <w:rsid w:val="00F70F30"/>
    <w:rsid w:val="00F71C96"/>
    <w:rsid w:val="00F71FD3"/>
    <w:rsid w:val="00F72406"/>
    <w:rsid w:val="00F72651"/>
    <w:rsid w:val="00F72F3D"/>
    <w:rsid w:val="00F73035"/>
    <w:rsid w:val="00F73138"/>
    <w:rsid w:val="00F73A86"/>
    <w:rsid w:val="00F74159"/>
    <w:rsid w:val="00F74A39"/>
    <w:rsid w:val="00F74A58"/>
    <w:rsid w:val="00F753A2"/>
    <w:rsid w:val="00F760A1"/>
    <w:rsid w:val="00F76239"/>
    <w:rsid w:val="00F763FC"/>
    <w:rsid w:val="00F768E8"/>
    <w:rsid w:val="00F76E21"/>
    <w:rsid w:val="00F76F04"/>
    <w:rsid w:val="00F770D4"/>
    <w:rsid w:val="00F7716F"/>
    <w:rsid w:val="00F7769A"/>
    <w:rsid w:val="00F77A46"/>
    <w:rsid w:val="00F77F34"/>
    <w:rsid w:val="00F80AC9"/>
    <w:rsid w:val="00F80C61"/>
    <w:rsid w:val="00F80E8D"/>
    <w:rsid w:val="00F81074"/>
    <w:rsid w:val="00F81533"/>
    <w:rsid w:val="00F819A6"/>
    <w:rsid w:val="00F81D66"/>
    <w:rsid w:val="00F81DF2"/>
    <w:rsid w:val="00F8200A"/>
    <w:rsid w:val="00F820B4"/>
    <w:rsid w:val="00F824E3"/>
    <w:rsid w:val="00F82A72"/>
    <w:rsid w:val="00F83650"/>
    <w:rsid w:val="00F8382E"/>
    <w:rsid w:val="00F8383B"/>
    <w:rsid w:val="00F83862"/>
    <w:rsid w:val="00F838F9"/>
    <w:rsid w:val="00F83B6B"/>
    <w:rsid w:val="00F83FF4"/>
    <w:rsid w:val="00F84498"/>
    <w:rsid w:val="00F847ED"/>
    <w:rsid w:val="00F84A2E"/>
    <w:rsid w:val="00F84D6E"/>
    <w:rsid w:val="00F84DB2"/>
    <w:rsid w:val="00F8527A"/>
    <w:rsid w:val="00F8548F"/>
    <w:rsid w:val="00F8655D"/>
    <w:rsid w:val="00F86846"/>
    <w:rsid w:val="00F86C17"/>
    <w:rsid w:val="00F87096"/>
    <w:rsid w:val="00F87348"/>
    <w:rsid w:val="00F87539"/>
    <w:rsid w:val="00F87975"/>
    <w:rsid w:val="00F906EC"/>
    <w:rsid w:val="00F909A4"/>
    <w:rsid w:val="00F90C84"/>
    <w:rsid w:val="00F90D96"/>
    <w:rsid w:val="00F90ED4"/>
    <w:rsid w:val="00F914AD"/>
    <w:rsid w:val="00F914D0"/>
    <w:rsid w:val="00F919E4"/>
    <w:rsid w:val="00F91AE2"/>
    <w:rsid w:val="00F91B72"/>
    <w:rsid w:val="00F91F96"/>
    <w:rsid w:val="00F91FE8"/>
    <w:rsid w:val="00F92308"/>
    <w:rsid w:val="00F923CA"/>
    <w:rsid w:val="00F92782"/>
    <w:rsid w:val="00F92E5C"/>
    <w:rsid w:val="00F92F32"/>
    <w:rsid w:val="00F93C62"/>
    <w:rsid w:val="00F94113"/>
    <w:rsid w:val="00F94481"/>
    <w:rsid w:val="00F95B60"/>
    <w:rsid w:val="00F95B65"/>
    <w:rsid w:val="00F95C72"/>
    <w:rsid w:val="00F962FB"/>
    <w:rsid w:val="00FA09B3"/>
    <w:rsid w:val="00FA14E7"/>
    <w:rsid w:val="00FA15CA"/>
    <w:rsid w:val="00FA1E47"/>
    <w:rsid w:val="00FA224C"/>
    <w:rsid w:val="00FA2402"/>
    <w:rsid w:val="00FA27D6"/>
    <w:rsid w:val="00FA2A6C"/>
    <w:rsid w:val="00FA2E9C"/>
    <w:rsid w:val="00FA3031"/>
    <w:rsid w:val="00FA3077"/>
    <w:rsid w:val="00FA3449"/>
    <w:rsid w:val="00FA3BEC"/>
    <w:rsid w:val="00FA3CE6"/>
    <w:rsid w:val="00FA4483"/>
    <w:rsid w:val="00FA469F"/>
    <w:rsid w:val="00FA4B40"/>
    <w:rsid w:val="00FA4B6F"/>
    <w:rsid w:val="00FA4C5A"/>
    <w:rsid w:val="00FA4F7A"/>
    <w:rsid w:val="00FA51DC"/>
    <w:rsid w:val="00FA6471"/>
    <w:rsid w:val="00FA6A2F"/>
    <w:rsid w:val="00FA6E21"/>
    <w:rsid w:val="00FA6F3F"/>
    <w:rsid w:val="00FA7800"/>
    <w:rsid w:val="00FA7B43"/>
    <w:rsid w:val="00FA7ECC"/>
    <w:rsid w:val="00FB014D"/>
    <w:rsid w:val="00FB0AA6"/>
    <w:rsid w:val="00FB17EE"/>
    <w:rsid w:val="00FB2290"/>
    <w:rsid w:val="00FB29DD"/>
    <w:rsid w:val="00FB2E34"/>
    <w:rsid w:val="00FB32FC"/>
    <w:rsid w:val="00FB3B56"/>
    <w:rsid w:val="00FB42A0"/>
    <w:rsid w:val="00FB438C"/>
    <w:rsid w:val="00FB4544"/>
    <w:rsid w:val="00FB46F0"/>
    <w:rsid w:val="00FB4965"/>
    <w:rsid w:val="00FB5AFE"/>
    <w:rsid w:val="00FB5B98"/>
    <w:rsid w:val="00FB5C60"/>
    <w:rsid w:val="00FB5D8D"/>
    <w:rsid w:val="00FB5E25"/>
    <w:rsid w:val="00FB5FC5"/>
    <w:rsid w:val="00FB60AC"/>
    <w:rsid w:val="00FB6C67"/>
    <w:rsid w:val="00FB6CFD"/>
    <w:rsid w:val="00FB6D2A"/>
    <w:rsid w:val="00FB7005"/>
    <w:rsid w:val="00FB7979"/>
    <w:rsid w:val="00FB79EA"/>
    <w:rsid w:val="00FB7D18"/>
    <w:rsid w:val="00FB7D30"/>
    <w:rsid w:val="00FB7E82"/>
    <w:rsid w:val="00FB7F59"/>
    <w:rsid w:val="00FC041D"/>
    <w:rsid w:val="00FC04BB"/>
    <w:rsid w:val="00FC055E"/>
    <w:rsid w:val="00FC05A5"/>
    <w:rsid w:val="00FC0609"/>
    <w:rsid w:val="00FC07CB"/>
    <w:rsid w:val="00FC088A"/>
    <w:rsid w:val="00FC08BE"/>
    <w:rsid w:val="00FC0DFE"/>
    <w:rsid w:val="00FC0E26"/>
    <w:rsid w:val="00FC152F"/>
    <w:rsid w:val="00FC2885"/>
    <w:rsid w:val="00FC2F2D"/>
    <w:rsid w:val="00FC36A1"/>
    <w:rsid w:val="00FC43AE"/>
    <w:rsid w:val="00FC4873"/>
    <w:rsid w:val="00FC4980"/>
    <w:rsid w:val="00FC4A90"/>
    <w:rsid w:val="00FC4AD5"/>
    <w:rsid w:val="00FC59BC"/>
    <w:rsid w:val="00FC5F4F"/>
    <w:rsid w:val="00FC6753"/>
    <w:rsid w:val="00FC6A8A"/>
    <w:rsid w:val="00FC7023"/>
    <w:rsid w:val="00FC7139"/>
    <w:rsid w:val="00FC76D2"/>
    <w:rsid w:val="00FC77DA"/>
    <w:rsid w:val="00FC7C38"/>
    <w:rsid w:val="00FC7EC9"/>
    <w:rsid w:val="00FD018D"/>
    <w:rsid w:val="00FD0235"/>
    <w:rsid w:val="00FD02B4"/>
    <w:rsid w:val="00FD02FE"/>
    <w:rsid w:val="00FD0367"/>
    <w:rsid w:val="00FD05B3"/>
    <w:rsid w:val="00FD0614"/>
    <w:rsid w:val="00FD097A"/>
    <w:rsid w:val="00FD143E"/>
    <w:rsid w:val="00FD1DD8"/>
    <w:rsid w:val="00FD2318"/>
    <w:rsid w:val="00FD2344"/>
    <w:rsid w:val="00FD23E4"/>
    <w:rsid w:val="00FD3CB0"/>
    <w:rsid w:val="00FD3F36"/>
    <w:rsid w:val="00FD41BC"/>
    <w:rsid w:val="00FD460B"/>
    <w:rsid w:val="00FD473B"/>
    <w:rsid w:val="00FD4D4A"/>
    <w:rsid w:val="00FD5018"/>
    <w:rsid w:val="00FD59F6"/>
    <w:rsid w:val="00FD5B91"/>
    <w:rsid w:val="00FD5CB0"/>
    <w:rsid w:val="00FD65A4"/>
    <w:rsid w:val="00FD6DF5"/>
    <w:rsid w:val="00FD7049"/>
    <w:rsid w:val="00FD756F"/>
    <w:rsid w:val="00FD784E"/>
    <w:rsid w:val="00FD7CE5"/>
    <w:rsid w:val="00FD7ECF"/>
    <w:rsid w:val="00FE0572"/>
    <w:rsid w:val="00FE10C0"/>
    <w:rsid w:val="00FE1246"/>
    <w:rsid w:val="00FE1251"/>
    <w:rsid w:val="00FE1B83"/>
    <w:rsid w:val="00FE2284"/>
    <w:rsid w:val="00FE2AC5"/>
    <w:rsid w:val="00FE2AD8"/>
    <w:rsid w:val="00FE2D00"/>
    <w:rsid w:val="00FE2DDA"/>
    <w:rsid w:val="00FE2EE4"/>
    <w:rsid w:val="00FE2F0E"/>
    <w:rsid w:val="00FE3160"/>
    <w:rsid w:val="00FE3999"/>
    <w:rsid w:val="00FE4224"/>
    <w:rsid w:val="00FE4C13"/>
    <w:rsid w:val="00FE522D"/>
    <w:rsid w:val="00FE547C"/>
    <w:rsid w:val="00FE59B3"/>
    <w:rsid w:val="00FE5F04"/>
    <w:rsid w:val="00FE60E7"/>
    <w:rsid w:val="00FE61D3"/>
    <w:rsid w:val="00FE6392"/>
    <w:rsid w:val="00FE6453"/>
    <w:rsid w:val="00FE6884"/>
    <w:rsid w:val="00FE6E79"/>
    <w:rsid w:val="00FE71DC"/>
    <w:rsid w:val="00FE7883"/>
    <w:rsid w:val="00FE78DE"/>
    <w:rsid w:val="00FF023D"/>
    <w:rsid w:val="00FF03F5"/>
    <w:rsid w:val="00FF047F"/>
    <w:rsid w:val="00FF0945"/>
    <w:rsid w:val="00FF0CD0"/>
    <w:rsid w:val="00FF0F24"/>
    <w:rsid w:val="00FF0FFB"/>
    <w:rsid w:val="00FF1810"/>
    <w:rsid w:val="00FF1926"/>
    <w:rsid w:val="00FF1AAF"/>
    <w:rsid w:val="00FF1BBD"/>
    <w:rsid w:val="00FF1D84"/>
    <w:rsid w:val="00FF1FF9"/>
    <w:rsid w:val="00FF2730"/>
    <w:rsid w:val="00FF27F7"/>
    <w:rsid w:val="00FF2C01"/>
    <w:rsid w:val="00FF3705"/>
    <w:rsid w:val="00FF412D"/>
    <w:rsid w:val="00FF4A0A"/>
    <w:rsid w:val="00FF4B21"/>
    <w:rsid w:val="00FF4D59"/>
    <w:rsid w:val="00FF505A"/>
    <w:rsid w:val="00FF5065"/>
    <w:rsid w:val="00FF52CD"/>
    <w:rsid w:val="00FF6215"/>
    <w:rsid w:val="00FF627B"/>
    <w:rsid w:val="00FF6739"/>
    <w:rsid w:val="00FF6BB8"/>
    <w:rsid w:val="00FF6D66"/>
    <w:rsid w:val="00FF767B"/>
    <w:rsid w:val="00FF7B80"/>
    <w:rsid w:val="00FF7F81"/>
    <w:rsid w:val="2A3C2B0B"/>
  </w:rsids>
  <m:mathPr>
    <m:mathFont m:val="Cambria Math"/>
    <m:brkBin m:val="before"/>
    <m:brkBinSub m:val="--"/>
    <m:smallFrac m:val="1"/>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semiHidden="0" w:name="List 2"/>
    <w:lsdException w:qFormat="1" w:uiPriority="99" w:semiHidden="0" w:name="List 3"/>
    <w:lsdException w:qFormat="1" w:uiPriority="99" w:semiHidden="0"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semiHidden="0" w:name="Closing"/>
    <w:lsdException w:qFormat="1"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iPriority="99" w:semiHidden="0" w:name="List Continue"/>
    <w:lsdException w:qFormat="1" w:uiPriority="99" w:semiHidden="0" w:name="List Continue 2"/>
    <w:lsdException w:qFormat="1" w:uiPriority="99" w:semiHidden="0" w:name="List Continue 3"/>
    <w:lsdException w:uiPriority="99" w:semiHidden="0" w:name="List Continue 4"/>
    <w:lsdException w:uiPriority="99" w:name="List Continue 5"/>
    <w:lsdException w:uiPriority="99" w:name="Message Header"/>
    <w:lsdException w:qFormat="1" w:unhideWhenUsed="0" w:uiPriority="0" w:semiHidden="0" w:name="Subtitle"/>
    <w:lsdException w:qFormat="1" w:uiPriority="99" w:semiHidden="0"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C" w:eastAsia="es-EC" w:bidi="ar-SA"/>
    </w:rPr>
  </w:style>
  <w:style w:type="paragraph" w:styleId="2">
    <w:name w:val="heading 1"/>
    <w:basedOn w:val="1"/>
    <w:next w:val="1"/>
    <w:link w:val="48"/>
    <w:qFormat/>
    <w:uiPriority w:val="9"/>
    <w:pPr>
      <w:keepNext/>
      <w:suppressAutoHyphens/>
      <w:spacing w:before="240" w:after="60" w:line="240" w:lineRule="auto"/>
      <w:outlineLvl w:val="0"/>
    </w:pPr>
    <w:rPr>
      <w:rFonts w:ascii="Cambria" w:hAnsi="Cambria" w:eastAsia="Times New Roman" w:cs="Mangal"/>
      <w:b/>
      <w:bCs/>
      <w:kern w:val="32"/>
      <w:sz w:val="32"/>
      <w:szCs w:val="29"/>
      <w:lang w:eastAsia="hi-IN" w:bidi="hi-IN"/>
    </w:rPr>
  </w:style>
  <w:style w:type="paragraph" w:styleId="3">
    <w:name w:val="heading 2"/>
    <w:basedOn w:val="1"/>
    <w:next w:val="1"/>
    <w:link w:val="49"/>
    <w:unhideWhenUsed/>
    <w:qFormat/>
    <w:uiPriority w:val="9"/>
    <w:pPr>
      <w:keepNext/>
      <w:suppressAutoHyphens/>
      <w:spacing w:before="240" w:after="60" w:line="240" w:lineRule="auto"/>
      <w:outlineLvl w:val="1"/>
    </w:pPr>
    <w:rPr>
      <w:rFonts w:ascii="Cambria" w:hAnsi="Cambria" w:eastAsia="Times New Roman" w:cs="Mangal"/>
      <w:b/>
      <w:bCs/>
      <w:i/>
      <w:iCs/>
      <w:sz w:val="28"/>
      <w:szCs w:val="25"/>
      <w:lang w:eastAsia="hi-IN" w:bidi="hi-IN"/>
    </w:rPr>
  </w:style>
  <w:style w:type="paragraph" w:styleId="4">
    <w:name w:val="heading 3"/>
    <w:basedOn w:val="1"/>
    <w:next w:val="1"/>
    <w:link w:val="50"/>
    <w:unhideWhenUsed/>
    <w:qFormat/>
    <w:uiPriority w:val="9"/>
    <w:pPr>
      <w:keepNext/>
      <w:suppressAutoHyphens/>
      <w:spacing w:before="240" w:after="60" w:line="240" w:lineRule="auto"/>
      <w:outlineLvl w:val="2"/>
    </w:pPr>
    <w:rPr>
      <w:rFonts w:ascii="Cambria" w:hAnsi="Cambria" w:eastAsia="Times New Roman" w:cs="Mangal"/>
      <w:b/>
      <w:bCs/>
      <w:sz w:val="26"/>
      <w:szCs w:val="23"/>
      <w:lang w:eastAsia="hi-IN" w:bidi="hi-IN"/>
    </w:rPr>
  </w:style>
  <w:style w:type="paragraph" w:styleId="5">
    <w:name w:val="heading 4"/>
    <w:basedOn w:val="1"/>
    <w:next w:val="1"/>
    <w:link w:val="51"/>
    <w:unhideWhenUsed/>
    <w:qFormat/>
    <w:uiPriority w:val="9"/>
    <w:pPr>
      <w:keepNext/>
      <w:suppressAutoHyphens/>
      <w:spacing w:before="240" w:after="60" w:line="240" w:lineRule="auto"/>
      <w:outlineLvl w:val="3"/>
    </w:pPr>
    <w:rPr>
      <w:rFonts w:ascii="Calibri" w:hAnsi="Calibri" w:eastAsia="Times New Roman" w:cs="Mangal"/>
      <w:b/>
      <w:bCs/>
      <w:sz w:val="28"/>
      <w:szCs w:val="25"/>
      <w:lang w:eastAsia="hi-IN" w:bidi="hi-IN"/>
    </w:rPr>
  </w:style>
  <w:style w:type="paragraph" w:styleId="6">
    <w:name w:val="heading 5"/>
    <w:basedOn w:val="1"/>
    <w:next w:val="1"/>
    <w:link w:val="52"/>
    <w:unhideWhenUsed/>
    <w:qFormat/>
    <w:uiPriority w:val="9"/>
    <w:pPr>
      <w:suppressAutoHyphens/>
      <w:spacing w:before="240" w:after="60" w:line="240" w:lineRule="auto"/>
      <w:outlineLvl w:val="4"/>
    </w:pPr>
    <w:rPr>
      <w:rFonts w:ascii="Calibri" w:hAnsi="Calibri" w:eastAsia="Times New Roman" w:cs="Mangal"/>
      <w:b/>
      <w:bCs/>
      <w:i/>
      <w:iCs/>
      <w:sz w:val="26"/>
      <w:szCs w:val="23"/>
      <w:lang w:eastAsia="hi-IN" w:bidi="hi-IN"/>
    </w:rPr>
  </w:style>
  <w:style w:type="paragraph" w:styleId="7">
    <w:name w:val="heading 6"/>
    <w:basedOn w:val="1"/>
    <w:next w:val="1"/>
    <w:link w:val="53"/>
    <w:qFormat/>
    <w:uiPriority w:val="0"/>
    <w:pPr>
      <w:suppressAutoHyphens/>
      <w:spacing w:before="198" w:after="0" w:line="240" w:lineRule="auto"/>
      <w:outlineLvl w:val="5"/>
    </w:pPr>
    <w:rPr>
      <w:rFonts w:ascii="Times New Roman" w:hAnsi="Times New Roman" w:eastAsia="Times New Roman" w:cs="Times New Roman"/>
      <w:b/>
      <w:bCs/>
      <w:color w:val="000080"/>
      <w:sz w:val="15"/>
      <w:szCs w:val="15"/>
      <w:lang w:bidi="hi-IN"/>
    </w:rPr>
  </w:style>
  <w:style w:type="paragraph" w:styleId="8">
    <w:name w:val="heading 7"/>
    <w:basedOn w:val="1"/>
    <w:next w:val="1"/>
    <w:link w:val="54"/>
    <w:qFormat/>
    <w:uiPriority w:val="0"/>
    <w:pPr>
      <w:keepNext/>
      <w:widowControl w:val="0"/>
      <w:suppressAutoHyphens/>
      <w:spacing w:after="0" w:line="240" w:lineRule="auto"/>
      <w:ind w:left="5029" w:hanging="360"/>
      <w:jc w:val="center"/>
      <w:outlineLvl w:val="6"/>
    </w:pPr>
    <w:rPr>
      <w:rFonts w:ascii="Flat Brush" w:hAnsi="Flat Brush" w:eastAsia="Times New Roman" w:cs="Times New Roman"/>
      <w:b/>
      <w:sz w:val="32"/>
      <w:szCs w:val="20"/>
      <w:lang w:val="es-ES" w:eastAsia="hi-IN" w:bidi="hi-IN"/>
    </w:rPr>
  </w:style>
  <w:style w:type="paragraph" w:styleId="9">
    <w:name w:val="heading 8"/>
    <w:basedOn w:val="1"/>
    <w:next w:val="1"/>
    <w:link w:val="55"/>
    <w:unhideWhenUsed/>
    <w:qFormat/>
    <w:uiPriority w:val="9"/>
    <w:pPr>
      <w:suppressAutoHyphens/>
      <w:spacing w:before="240" w:after="60" w:line="240" w:lineRule="auto"/>
      <w:outlineLvl w:val="7"/>
    </w:pPr>
    <w:rPr>
      <w:rFonts w:ascii="Calibri" w:hAnsi="Calibri" w:eastAsia="Times New Roman" w:cs="Mangal"/>
      <w:i/>
      <w:iCs/>
      <w:sz w:val="24"/>
      <w:szCs w:val="21"/>
      <w:lang w:eastAsia="hi-IN" w:bidi="hi-IN"/>
    </w:rPr>
  </w:style>
  <w:style w:type="paragraph" w:styleId="10">
    <w:name w:val="heading 9"/>
    <w:basedOn w:val="1"/>
    <w:next w:val="1"/>
    <w:link w:val="56"/>
    <w:qFormat/>
    <w:uiPriority w:val="9"/>
    <w:pPr>
      <w:keepNext/>
      <w:widowControl w:val="0"/>
      <w:suppressAutoHyphens/>
      <w:spacing w:after="0" w:line="240" w:lineRule="auto"/>
      <w:ind w:left="6469" w:hanging="360"/>
      <w:jc w:val="center"/>
      <w:outlineLvl w:val="8"/>
    </w:pPr>
    <w:rPr>
      <w:rFonts w:ascii="Dolphin" w:hAnsi="Dolphin" w:eastAsia="Times New Roman" w:cs="Times New Roman"/>
      <w:b/>
      <w:sz w:val="36"/>
      <w:szCs w:val="20"/>
      <w:lang w:val="es-ES" w:eastAsia="hi-IN" w:bidi="hi-IN"/>
    </w:rPr>
  </w:style>
  <w:style w:type="character" w:default="1" w:styleId="38">
    <w:name w:val="Default Paragraph Font"/>
    <w:unhideWhenUsed/>
    <w:uiPriority w:val="1"/>
  </w:style>
  <w:style w:type="table" w:default="1" w:styleId="46">
    <w:name w:val="Normal Table"/>
    <w:unhideWhenUsed/>
    <w:uiPriority w:val="99"/>
    <w:tblPr>
      <w:tblLayout w:type="fixed"/>
      <w:tblCellMar>
        <w:top w:w="0" w:type="dxa"/>
        <w:left w:w="108" w:type="dxa"/>
        <w:bottom w:w="0" w:type="dxa"/>
        <w:right w:w="108" w:type="dxa"/>
      </w:tblCellMar>
    </w:tblPr>
  </w:style>
  <w:style w:type="paragraph" w:styleId="11">
    <w:name w:val="List Continue 2"/>
    <w:basedOn w:val="1"/>
    <w:unhideWhenUsed/>
    <w:qFormat/>
    <w:uiPriority w:val="99"/>
    <w:pPr>
      <w:suppressAutoHyphens/>
      <w:spacing w:after="120" w:line="240" w:lineRule="auto"/>
      <w:ind w:left="566"/>
      <w:contextualSpacing/>
    </w:pPr>
    <w:rPr>
      <w:rFonts w:ascii="Times New Roman" w:hAnsi="Times New Roman" w:eastAsia="Times New Roman" w:cs="Mangal"/>
      <w:sz w:val="24"/>
      <w:szCs w:val="20"/>
      <w:lang w:eastAsia="hi-IN" w:bidi="hi-IN"/>
    </w:rPr>
  </w:style>
  <w:style w:type="paragraph" w:styleId="12">
    <w:name w:val="footnote text"/>
    <w:basedOn w:val="1"/>
    <w:link w:val="82"/>
    <w:unhideWhenUsed/>
    <w:qFormat/>
    <w:uiPriority w:val="0"/>
    <w:pPr>
      <w:spacing w:after="0" w:line="240" w:lineRule="auto"/>
    </w:pPr>
    <w:rPr>
      <w:rFonts w:ascii="Calibri" w:hAnsi="Calibri" w:eastAsia="Calibri" w:cs="Times New Roman"/>
      <w:sz w:val="20"/>
      <w:szCs w:val="20"/>
    </w:rPr>
  </w:style>
  <w:style w:type="paragraph" w:styleId="13">
    <w:name w:val="endnote text"/>
    <w:basedOn w:val="1"/>
    <w:link w:val="390"/>
    <w:semiHidden/>
    <w:qFormat/>
    <w:uiPriority w:val="0"/>
    <w:pPr>
      <w:widowControl w:val="0"/>
      <w:snapToGrid w:val="0"/>
      <w:spacing w:after="0" w:line="240" w:lineRule="auto"/>
    </w:pPr>
    <w:rPr>
      <w:rFonts w:ascii="Courier New" w:hAnsi="Courier New" w:cs="Courier New"/>
      <w:snapToGrid w:val="0"/>
      <w:sz w:val="24"/>
    </w:rPr>
  </w:style>
  <w:style w:type="paragraph" w:styleId="14">
    <w:name w:val="List Continue 3"/>
    <w:basedOn w:val="1"/>
    <w:unhideWhenUsed/>
    <w:qFormat/>
    <w:uiPriority w:val="99"/>
    <w:pPr>
      <w:suppressAutoHyphens/>
      <w:spacing w:after="120" w:line="240" w:lineRule="auto"/>
      <w:ind w:left="849"/>
      <w:contextualSpacing/>
    </w:pPr>
    <w:rPr>
      <w:rFonts w:ascii="Times New Roman" w:hAnsi="Times New Roman" w:eastAsia="Times New Roman" w:cs="Mangal"/>
      <w:sz w:val="24"/>
      <w:szCs w:val="20"/>
      <w:lang w:eastAsia="hi-IN" w:bidi="hi-IN"/>
    </w:rPr>
  </w:style>
  <w:style w:type="paragraph" w:styleId="15">
    <w:name w:val="annotation subject"/>
    <w:basedOn w:val="16"/>
    <w:next w:val="16"/>
    <w:link w:val="64"/>
    <w:unhideWhenUsed/>
    <w:uiPriority w:val="99"/>
    <w:rPr>
      <w:b/>
      <w:bCs/>
    </w:rPr>
  </w:style>
  <w:style w:type="paragraph" w:styleId="16">
    <w:name w:val="annotation text"/>
    <w:basedOn w:val="1"/>
    <w:link w:val="63"/>
    <w:unhideWhenUsed/>
    <w:uiPriority w:val="99"/>
    <w:pPr>
      <w:suppressAutoHyphens/>
      <w:spacing w:after="0" w:line="240" w:lineRule="auto"/>
    </w:pPr>
    <w:rPr>
      <w:rFonts w:ascii="Times New Roman" w:hAnsi="Times New Roman" w:eastAsia="Times New Roman" w:cs="Mangal"/>
      <w:sz w:val="20"/>
      <w:szCs w:val="18"/>
      <w:lang w:eastAsia="hi-IN" w:bidi="hi-IN"/>
    </w:rPr>
  </w:style>
  <w:style w:type="paragraph" w:styleId="17">
    <w:name w:val="Balloon Text"/>
    <w:basedOn w:val="1"/>
    <w:link w:val="62"/>
    <w:unhideWhenUsed/>
    <w:uiPriority w:val="99"/>
    <w:pPr>
      <w:suppressAutoHyphens/>
      <w:spacing w:after="0" w:line="240" w:lineRule="auto"/>
    </w:pPr>
    <w:rPr>
      <w:rFonts w:ascii="Tahoma" w:hAnsi="Tahoma" w:eastAsia="Times New Roman" w:cs="Mangal"/>
      <w:sz w:val="16"/>
      <w:szCs w:val="14"/>
      <w:lang w:eastAsia="hi-IN" w:bidi="hi-IN"/>
    </w:rPr>
  </w:style>
  <w:style w:type="paragraph" w:styleId="18">
    <w:name w:val="Closing"/>
    <w:basedOn w:val="1"/>
    <w:link w:val="86"/>
    <w:unhideWhenUsed/>
    <w:uiPriority w:val="99"/>
    <w:pPr>
      <w:suppressAutoHyphens/>
      <w:spacing w:after="0" w:line="240" w:lineRule="auto"/>
      <w:ind w:left="4252"/>
    </w:pPr>
    <w:rPr>
      <w:rFonts w:ascii="Times New Roman" w:hAnsi="Times New Roman" w:eastAsia="Times New Roman" w:cs="Mangal"/>
      <w:sz w:val="24"/>
      <w:szCs w:val="20"/>
      <w:lang w:eastAsia="hi-IN" w:bidi="hi-IN"/>
    </w:rPr>
  </w:style>
  <w:style w:type="paragraph" w:styleId="19">
    <w:name w:val="List Continue"/>
    <w:basedOn w:val="1"/>
    <w:unhideWhenUsed/>
    <w:uiPriority w:val="99"/>
    <w:pPr>
      <w:suppressAutoHyphens/>
      <w:spacing w:after="120" w:line="240" w:lineRule="auto"/>
      <w:ind w:left="283"/>
      <w:contextualSpacing/>
    </w:pPr>
    <w:rPr>
      <w:rFonts w:ascii="Times New Roman" w:hAnsi="Times New Roman" w:eastAsia="Times New Roman" w:cs="Mangal"/>
      <w:sz w:val="24"/>
      <w:szCs w:val="20"/>
      <w:lang w:eastAsia="hi-IN" w:bidi="hi-IN"/>
    </w:rPr>
  </w:style>
  <w:style w:type="paragraph" w:styleId="20">
    <w:name w:val="List Continue 4"/>
    <w:basedOn w:val="1"/>
    <w:unhideWhenUsed/>
    <w:uiPriority w:val="99"/>
    <w:pPr>
      <w:suppressAutoHyphens/>
      <w:spacing w:after="120" w:line="240" w:lineRule="auto"/>
      <w:ind w:left="1132"/>
      <w:contextualSpacing/>
    </w:pPr>
    <w:rPr>
      <w:rFonts w:ascii="Times New Roman" w:hAnsi="Times New Roman" w:eastAsia="Times New Roman" w:cs="Mangal"/>
      <w:sz w:val="24"/>
      <w:szCs w:val="20"/>
      <w:lang w:eastAsia="hi-IN" w:bidi="hi-IN"/>
    </w:rPr>
  </w:style>
  <w:style w:type="paragraph" w:styleId="21">
    <w:name w:val="List 3"/>
    <w:basedOn w:val="1"/>
    <w:unhideWhenUsed/>
    <w:qFormat/>
    <w:uiPriority w:val="99"/>
    <w:pPr>
      <w:suppressAutoHyphens/>
      <w:spacing w:after="0" w:line="240" w:lineRule="auto"/>
      <w:ind w:left="849" w:hanging="283"/>
      <w:contextualSpacing/>
    </w:pPr>
    <w:rPr>
      <w:rFonts w:ascii="Times New Roman" w:hAnsi="Times New Roman" w:eastAsia="Times New Roman" w:cs="Mangal"/>
      <w:sz w:val="24"/>
      <w:szCs w:val="20"/>
      <w:lang w:eastAsia="hi-IN" w:bidi="hi-IN"/>
    </w:rPr>
  </w:style>
  <w:style w:type="paragraph" w:styleId="22">
    <w:name w:val="header"/>
    <w:basedOn w:val="1"/>
    <w:link w:val="60"/>
    <w:unhideWhenUsed/>
    <w:qFormat/>
    <w:uiPriority w:val="0"/>
    <w:pPr>
      <w:tabs>
        <w:tab w:val="center" w:pos="4419"/>
        <w:tab w:val="right" w:pos="8838"/>
      </w:tabs>
      <w:suppressAutoHyphens/>
      <w:spacing w:after="0" w:line="240" w:lineRule="auto"/>
    </w:pPr>
    <w:rPr>
      <w:rFonts w:ascii="Times New Roman" w:hAnsi="Times New Roman" w:eastAsia="Times New Roman" w:cs="Mangal"/>
      <w:sz w:val="24"/>
      <w:szCs w:val="20"/>
      <w:lang w:eastAsia="hi-IN" w:bidi="hi-IN"/>
    </w:rPr>
  </w:style>
  <w:style w:type="paragraph" w:styleId="23">
    <w:name w:val="Body Text Indent"/>
    <w:basedOn w:val="1"/>
    <w:link w:val="65"/>
    <w:uiPriority w:val="0"/>
    <w:pPr>
      <w:suppressAutoHyphens/>
      <w:spacing w:after="120" w:line="240" w:lineRule="auto"/>
      <w:ind w:left="283"/>
    </w:pPr>
    <w:rPr>
      <w:rFonts w:ascii="Times New Roman" w:hAnsi="Times New Roman" w:eastAsia="Times New Roman" w:cs="Times New Roman"/>
      <w:sz w:val="24"/>
      <w:szCs w:val="20"/>
      <w:lang w:eastAsia="hi-IN" w:bidi="hi-IN"/>
    </w:rPr>
  </w:style>
  <w:style w:type="paragraph" w:styleId="24">
    <w:name w:val="List 2"/>
    <w:basedOn w:val="1"/>
    <w:unhideWhenUsed/>
    <w:uiPriority w:val="99"/>
    <w:pPr>
      <w:suppressAutoHyphens/>
      <w:spacing w:after="0" w:line="240" w:lineRule="auto"/>
      <w:ind w:left="566" w:hanging="283"/>
      <w:contextualSpacing/>
    </w:pPr>
    <w:rPr>
      <w:rFonts w:ascii="Times New Roman" w:hAnsi="Times New Roman" w:eastAsia="Times New Roman" w:cs="Mangal"/>
      <w:sz w:val="24"/>
      <w:szCs w:val="20"/>
      <w:lang w:eastAsia="hi-IN" w:bidi="hi-IN"/>
    </w:rPr>
  </w:style>
  <w:style w:type="paragraph" w:styleId="25">
    <w:name w:val="Signature"/>
    <w:basedOn w:val="1"/>
    <w:link w:val="383"/>
    <w:qFormat/>
    <w:uiPriority w:val="0"/>
    <w:pPr>
      <w:suppressAutoHyphens/>
      <w:spacing w:after="0" w:line="240" w:lineRule="auto"/>
      <w:ind w:left="4252"/>
    </w:pPr>
    <w:rPr>
      <w:rFonts w:ascii="Times New Roman" w:hAnsi="Times New Roman" w:eastAsia="Times New Roman" w:cs="Times New Roman"/>
      <w:sz w:val="24"/>
      <w:szCs w:val="20"/>
      <w:lang w:val="es-ES" w:eastAsia="hi-IN" w:bidi="hi-IN"/>
    </w:rPr>
  </w:style>
  <w:style w:type="paragraph" w:styleId="26">
    <w:name w:val="List"/>
    <w:basedOn w:val="1"/>
    <w:unhideWhenUsed/>
    <w:qFormat/>
    <w:uiPriority w:val="0"/>
    <w:pPr>
      <w:suppressAutoHyphens/>
      <w:spacing w:after="0" w:line="240" w:lineRule="auto"/>
      <w:ind w:left="283" w:hanging="283"/>
      <w:contextualSpacing/>
    </w:pPr>
    <w:rPr>
      <w:rFonts w:ascii="Times New Roman" w:hAnsi="Times New Roman" w:eastAsia="Times New Roman" w:cs="Mangal"/>
      <w:sz w:val="24"/>
      <w:szCs w:val="20"/>
      <w:lang w:eastAsia="hi-IN" w:bidi="hi-IN"/>
    </w:rPr>
  </w:style>
  <w:style w:type="paragraph" w:styleId="27">
    <w:name w:val="List 4"/>
    <w:basedOn w:val="1"/>
    <w:unhideWhenUsed/>
    <w:qFormat/>
    <w:uiPriority w:val="99"/>
    <w:pPr>
      <w:suppressAutoHyphens/>
      <w:spacing w:after="0" w:line="240" w:lineRule="auto"/>
      <w:ind w:left="1132" w:hanging="283"/>
      <w:contextualSpacing/>
    </w:pPr>
    <w:rPr>
      <w:rFonts w:ascii="Times New Roman" w:hAnsi="Times New Roman" w:eastAsia="Times New Roman" w:cs="Mangal"/>
      <w:sz w:val="24"/>
      <w:szCs w:val="20"/>
      <w:lang w:eastAsia="hi-IN" w:bidi="hi-IN"/>
    </w:rPr>
  </w:style>
  <w:style w:type="paragraph" w:styleId="28">
    <w:name w:val="List Bullet 2"/>
    <w:basedOn w:val="1"/>
    <w:unhideWhenUsed/>
    <w:qFormat/>
    <w:uiPriority w:val="99"/>
    <w:pPr>
      <w:numPr>
        <w:ilvl w:val="0"/>
        <w:numId w:val="1"/>
      </w:numPr>
      <w:suppressAutoHyphens/>
      <w:spacing w:after="0" w:line="240" w:lineRule="auto"/>
      <w:contextualSpacing/>
    </w:pPr>
    <w:rPr>
      <w:rFonts w:ascii="Times New Roman" w:hAnsi="Times New Roman" w:eastAsia="Times New Roman" w:cs="Mangal"/>
      <w:sz w:val="24"/>
      <w:szCs w:val="20"/>
      <w:lang w:eastAsia="hi-IN" w:bidi="hi-IN"/>
    </w:rPr>
  </w:style>
  <w:style w:type="paragraph" w:styleId="29">
    <w:name w:val="Normal (Web)"/>
    <w:basedOn w:val="1"/>
    <w:unhideWhenUsed/>
    <w:qFormat/>
    <w:uiPriority w:val="99"/>
    <w:pPr>
      <w:spacing w:before="100" w:beforeAutospacing="1" w:after="119" w:line="240" w:lineRule="auto"/>
    </w:pPr>
    <w:rPr>
      <w:rFonts w:ascii="Times New Roman" w:hAnsi="Times New Roman" w:eastAsia="Times New Roman" w:cs="Times New Roman"/>
      <w:sz w:val="24"/>
      <w:szCs w:val="24"/>
    </w:rPr>
  </w:style>
  <w:style w:type="paragraph" w:styleId="30">
    <w:name w:val="footer"/>
    <w:basedOn w:val="1"/>
    <w:link w:val="61"/>
    <w:unhideWhenUsed/>
    <w:uiPriority w:val="99"/>
    <w:pPr>
      <w:tabs>
        <w:tab w:val="center" w:pos="4419"/>
        <w:tab w:val="right" w:pos="8838"/>
      </w:tabs>
      <w:suppressAutoHyphens/>
      <w:spacing w:after="0" w:line="240" w:lineRule="auto"/>
    </w:pPr>
    <w:rPr>
      <w:rFonts w:ascii="Times New Roman" w:hAnsi="Times New Roman" w:eastAsia="Times New Roman" w:cs="Mangal"/>
      <w:sz w:val="24"/>
      <w:szCs w:val="20"/>
      <w:lang w:eastAsia="hi-IN" w:bidi="hi-IN"/>
    </w:rPr>
  </w:style>
  <w:style w:type="paragraph" w:styleId="31">
    <w:name w:val="Salutation"/>
    <w:basedOn w:val="1"/>
    <w:next w:val="1"/>
    <w:link w:val="85"/>
    <w:unhideWhenUsed/>
    <w:qFormat/>
    <w:uiPriority w:val="99"/>
    <w:pPr>
      <w:suppressAutoHyphens/>
      <w:spacing w:after="0" w:line="240" w:lineRule="auto"/>
    </w:pPr>
    <w:rPr>
      <w:rFonts w:ascii="Times New Roman" w:hAnsi="Times New Roman" w:eastAsia="Times New Roman" w:cs="Mangal"/>
      <w:sz w:val="24"/>
      <w:szCs w:val="20"/>
      <w:lang w:eastAsia="hi-IN" w:bidi="hi-IN"/>
    </w:rPr>
  </w:style>
  <w:style w:type="paragraph" w:styleId="32">
    <w:name w:val="Subtitle"/>
    <w:basedOn w:val="1"/>
    <w:next w:val="33"/>
    <w:link w:val="372"/>
    <w:qFormat/>
    <w:uiPriority w:val="0"/>
    <w:pPr>
      <w:widowControl w:val="0"/>
      <w:suppressAutoHyphens/>
      <w:spacing w:after="0" w:line="240" w:lineRule="auto"/>
      <w:jc w:val="both"/>
    </w:pPr>
    <w:rPr>
      <w:rFonts w:ascii="Arial" w:hAnsi="Arial" w:eastAsia="Times New Roman" w:cs="Times New Roman"/>
      <w:b/>
      <w:spacing w:val="-2"/>
      <w:sz w:val="20"/>
      <w:szCs w:val="20"/>
      <w:lang w:eastAsia="hi-IN" w:bidi="hi-IN"/>
    </w:rPr>
  </w:style>
  <w:style w:type="paragraph" w:styleId="33">
    <w:name w:val="Body Text"/>
    <w:basedOn w:val="1"/>
    <w:link w:val="59"/>
    <w:uiPriority w:val="0"/>
    <w:pPr>
      <w:widowControl w:val="0"/>
      <w:suppressAutoHyphens/>
      <w:spacing w:after="0" w:line="240" w:lineRule="auto"/>
      <w:jc w:val="both"/>
    </w:pPr>
    <w:rPr>
      <w:rFonts w:ascii="Arial" w:hAnsi="Arial" w:eastAsia="Times New Roman" w:cs="Times New Roman"/>
      <w:spacing w:val="-2"/>
      <w:sz w:val="20"/>
      <w:szCs w:val="20"/>
      <w:u w:val="single"/>
      <w:lang w:eastAsia="hi-IN" w:bidi="hi-IN"/>
    </w:rPr>
  </w:style>
  <w:style w:type="paragraph" w:styleId="34">
    <w:name w:val="Body Text First Indent"/>
    <w:basedOn w:val="33"/>
    <w:link w:val="87"/>
    <w:unhideWhenUsed/>
    <w:qFormat/>
    <w:uiPriority w:val="99"/>
    <w:pPr>
      <w:widowControl/>
      <w:spacing w:after="120"/>
      <w:ind w:firstLine="210"/>
      <w:jc w:val="left"/>
    </w:pPr>
    <w:rPr>
      <w:rFonts w:ascii="Times New Roman" w:hAnsi="Times New Roman" w:cs="Mangal"/>
      <w:spacing w:val="0"/>
      <w:sz w:val="24"/>
      <w:u w:val="none"/>
    </w:rPr>
  </w:style>
  <w:style w:type="paragraph" w:styleId="35">
    <w:name w:val="Body Text First Indent 2"/>
    <w:basedOn w:val="23"/>
    <w:link w:val="88"/>
    <w:unhideWhenUsed/>
    <w:qFormat/>
    <w:uiPriority w:val="99"/>
    <w:pPr>
      <w:ind w:firstLine="210"/>
    </w:pPr>
    <w:rPr>
      <w:rFonts w:cs="Mangal"/>
    </w:rPr>
  </w:style>
  <w:style w:type="paragraph" w:styleId="36">
    <w:name w:val="Plain Text"/>
    <w:basedOn w:val="1"/>
    <w:link w:val="79"/>
    <w:unhideWhenUsed/>
    <w:uiPriority w:val="99"/>
    <w:pPr>
      <w:spacing w:after="0" w:line="240" w:lineRule="auto"/>
    </w:pPr>
    <w:rPr>
      <w:rFonts w:ascii="Calibri" w:hAnsi="Calibri" w:eastAsia="Calibri" w:cs="Times New Roman"/>
      <w:szCs w:val="21"/>
    </w:rPr>
  </w:style>
  <w:style w:type="paragraph" w:styleId="37">
    <w:name w:val="Title"/>
    <w:basedOn w:val="1"/>
    <w:next w:val="32"/>
    <w:link w:val="380"/>
    <w:qFormat/>
    <w:uiPriority w:val="0"/>
    <w:pPr>
      <w:widowControl w:val="0"/>
      <w:suppressAutoHyphens/>
      <w:spacing w:after="0" w:line="240" w:lineRule="auto"/>
    </w:pPr>
    <w:rPr>
      <w:rFonts w:ascii="Courier New" w:hAnsi="Courier New" w:eastAsia="Times New Roman" w:cs="Times New Roman"/>
      <w:sz w:val="24"/>
      <w:szCs w:val="20"/>
      <w:lang w:val="es-ES" w:eastAsia="hi-IN" w:bidi="hi-IN"/>
    </w:rPr>
  </w:style>
  <w:style w:type="character" w:styleId="39">
    <w:name w:val="endnote reference"/>
    <w:qFormat/>
    <w:uiPriority w:val="0"/>
    <w:rPr>
      <w:vertAlign w:val="superscript"/>
    </w:rPr>
  </w:style>
  <w:style w:type="character" w:styleId="40">
    <w:name w:val="annotation reference"/>
    <w:unhideWhenUsed/>
    <w:uiPriority w:val="99"/>
    <w:rPr>
      <w:sz w:val="16"/>
      <w:szCs w:val="16"/>
    </w:rPr>
  </w:style>
  <w:style w:type="character" w:styleId="41">
    <w:name w:val="footnote reference"/>
    <w:qFormat/>
    <w:uiPriority w:val="0"/>
    <w:rPr>
      <w:vertAlign w:val="superscript"/>
    </w:rPr>
  </w:style>
  <w:style w:type="character" w:styleId="42">
    <w:name w:val="Hyperlink"/>
    <w:unhideWhenUsed/>
    <w:uiPriority w:val="99"/>
    <w:rPr>
      <w:color w:val="0000FF"/>
      <w:u w:val="single"/>
    </w:rPr>
  </w:style>
  <w:style w:type="character" w:styleId="43">
    <w:name w:val="FollowedHyperlink"/>
    <w:unhideWhenUsed/>
    <w:qFormat/>
    <w:uiPriority w:val="99"/>
    <w:rPr>
      <w:color w:val="800080"/>
      <w:u w:val="single"/>
    </w:rPr>
  </w:style>
  <w:style w:type="character" w:styleId="44">
    <w:name w:val="page number"/>
    <w:qFormat/>
    <w:uiPriority w:val="0"/>
  </w:style>
  <w:style w:type="character" w:styleId="45">
    <w:name w:val="Strong"/>
    <w:qFormat/>
    <w:uiPriority w:val="0"/>
    <w:rPr>
      <w:b/>
    </w:rPr>
  </w:style>
  <w:style w:type="table" w:styleId="47">
    <w:name w:val="Table Grid"/>
    <w:basedOn w:val="46"/>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Título 1 Car"/>
    <w:basedOn w:val="38"/>
    <w:link w:val="2"/>
    <w:qFormat/>
    <w:uiPriority w:val="9"/>
    <w:rPr>
      <w:rFonts w:ascii="Cambria" w:hAnsi="Cambria" w:eastAsia="Times New Roman" w:cs="Mangal"/>
      <w:b/>
      <w:bCs/>
      <w:kern w:val="32"/>
      <w:sz w:val="32"/>
      <w:szCs w:val="29"/>
      <w:lang w:eastAsia="hi-IN" w:bidi="hi-IN"/>
    </w:rPr>
  </w:style>
  <w:style w:type="character" w:customStyle="1" w:styleId="49">
    <w:name w:val="Título 2 Car"/>
    <w:basedOn w:val="38"/>
    <w:link w:val="3"/>
    <w:uiPriority w:val="9"/>
    <w:rPr>
      <w:rFonts w:ascii="Cambria" w:hAnsi="Cambria" w:eastAsia="Times New Roman" w:cs="Mangal"/>
      <w:b/>
      <w:bCs/>
      <w:i/>
      <w:iCs/>
      <w:sz w:val="28"/>
      <w:szCs w:val="25"/>
      <w:lang w:eastAsia="hi-IN" w:bidi="hi-IN"/>
    </w:rPr>
  </w:style>
  <w:style w:type="character" w:customStyle="1" w:styleId="50">
    <w:name w:val="Título 3 Car"/>
    <w:basedOn w:val="38"/>
    <w:link w:val="4"/>
    <w:uiPriority w:val="9"/>
    <w:rPr>
      <w:rFonts w:ascii="Cambria" w:hAnsi="Cambria" w:eastAsia="Times New Roman" w:cs="Mangal"/>
      <w:b/>
      <w:bCs/>
      <w:sz w:val="26"/>
      <w:szCs w:val="23"/>
      <w:lang w:eastAsia="hi-IN" w:bidi="hi-IN"/>
    </w:rPr>
  </w:style>
  <w:style w:type="character" w:customStyle="1" w:styleId="51">
    <w:name w:val="Título 4 Car"/>
    <w:basedOn w:val="38"/>
    <w:link w:val="5"/>
    <w:uiPriority w:val="9"/>
    <w:rPr>
      <w:rFonts w:ascii="Calibri" w:hAnsi="Calibri" w:eastAsia="Times New Roman" w:cs="Mangal"/>
      <w:b/>
      <w:bCs/>
      <w:sz w:val="28"/>
      <w:szCs w:val="25"/>
      <w:lang w:eastAsia="hi-IN" w:bidi="hi-IN"/>
    </w:rPr>
  </w:style>
  <w:style w:type="character" w:customStyle="1" w:styleId="52">
    <w:name w:val="Título 5 Car"/>
    <w:basedOn w:val="38"/>
    <w:link w:val="6"/>
    <w:uiPriority w:val="9"/>
    <w:rPr>
      <w:rFonts w:ascii="Calibri" w:hAnsi="Calibri" w:eastAsia="Times New Roman" w:cs="Mangal"/>
      <w:b/>
      <w:bCs/>
      <w:i/>
      <w:iCs/>
      <w:sz w:val="26"/>
      <w:szCs w:val="23"/>
      <w:lang w:eastAsia="hi-IN" w:bidi="hi-IN"/>
    </w:rPr>
  </w:style>
  <w:style w:type="character" w:customStyle="1" w:styleId="53">
    <w:name w:val="Título 6 Car"/>
    <w:basedOn w:val="38"/>
    <w:link w:val="7"/>
    <w:uiPriority w:val="0"/>
    <w:rPr>
      <w:rFonts w:ascii="Times New Roman" w:hAnsi="Times New Roman" w:eastAsia="Times New Roman" w:cs="Times New Roman"/>
      <w:b/>
      <w:bCs/>
      <w:color w:val="000080"/>
      <w:sz w:val="15"/>
      <w:szCs w:val="15"/>
      <w:lang w:eastAsia="es-EC" w:bidi="hi-IN"/>
    </w:rPr>
  </w:style>
  <w:style w:type="character" w:customStyle="1" w:styleId="54">
    <w:name w:val="Título 7 Car"/>
    <w:basedOn w:val="38"/>
    <w:link w:val="8"/>
    <w:uiPriority w:val="0"/>
    <w:rPr>
      <w:rFonts w:ascii="Flat Brush" w:hAnsi="Flat Brush" w:eastAsia="Times New Roman" w:cs="Times New Roman"/>
      <w:b/>
      <w:sz w:val="32"/>
      <w:szCs w:val="20"/>
      <w:lang w:val="es-ES" w:eastAsia="hi-IN" w:bidi="hi-IN"/>
    </w:rPr>
  </w:style>
  <w:style w:type="character" w:customStyle="1" w:styleId="55">
    <w:name w:val="Título 8 Car"/>
    <w:basedOn w:val="38"/>
    <w:link w:val="9"/>
    <w:uiPriority w:val="9"/>
    <w:rPr>
      <w:rFonts w:ascii="Calibri" w:hAnsi="Calibri" w:eastAsia="Times New Roman" w:cs="Mangal"/>
      <w:i/>
      <w:iCs/>
      <w:sz w:val="24"/>
      <w:szCs w:val="21"/>
      <w:lang w:eastAsia="hi-IN" w:bidi="hi-IN"/>
    </w:rPr>
  </w:style>
  <w:style w:type="character" w:customStyle="1" w:styleId="56">
    <w:name w:val="Título 9 Car"/>
    <w:basedOn w:val="38"/>
    <w:link w:val="10"/>
    <w:qFormat/>
    <w:uiPriority w:val="9"/>
    <w:rPr>
      <w:rFonts w:ascii="Dolphin" w:hAnsi="Dolphin" w:eastAsia="Times New Roman" w:cs="Times New Roman"/>
      <w:b/>
      <w:sz w:val="36"/>
      <w:szCs w:val="20"/>
      <w:lang w:val="es-ES" w:eastAsia="hi-IN" w:bidi="hi-IN"/>
    </w:rPr>
  </w:style>
  <w:style w:type="paragraph" w:customStyle="1" w:styleId="57">
    <w:name w:val="List Paragraph"/>
    <w:basedOn w:val="1"/>
    <w:link w:val="58"/>
    <w:qFormat/>
    <w:uiPriority w:val="34"/>
    <w:pPr>
      <w:suppressAutoHyphens/>
      <w:spacing w:after="0" w:line="240" w:lineRule="auto"/>
      <w:ind w:left="720"/>
    </w:pPr>
    <w:rPr>
      <w:rFonts w:ascii="Calibri" w:hAnsi="Calibri" w:eastAsia="Times New Roman" w:cs="Times New Roman"/>
      <w:sz w:val="24"/>
      <w:szCs w:val="20"/>
      <w:lang w:eastAsia="hi-IN" w:bidi="hi-IN"/>
    </w:rPr>
  </w:style>
  <w:style w:type="character" w:customStyle="1" w:styleId="58">
    <w:name w:val="Párrafo de lista Car"/>
    <w:link w:val="57"/>
    <w:locked/>
    <w:uiPriority w:val="34"/>
    <w:rPr>
      <w:rFonts w:ascii="Calibri" w:hAnsi="Calibri" w:eastAsia="Times New Roman" w:cs="Times New Roman"/>
      <w:sz w:val="24"/>
      <w:szCs w:val="20"/>
      <w:lang w:eastAsia="hi-IN" w:bidi="hi-IN"/>
    </w:rPr>
  </w:style>
  <w:style w:type="character" w:customStyle="1" w:styleId="59">
    <w:name w:val="Texto independiente Car"/>
    <w:basedOn w:val="38"/>
    <w:link w:val="33"/>
    <w:uiPriority w:val="0"/>
    <w:rPr>
      <w:rFonts w:ascii="Arial" w:hAnsi="Arial" w:eastAsia="Times New Roman" w:cs="Times New Roman"/>
      <w:spacing w:val="-2"/>
      <w:sz w:val="20"/>
      <w:szCs w:val="20"/>
      <w:u w:val="single"/>
      <w:lang w:eastAsia="hi-IN" w:bidi="hi-IN"/>
    </w:rPr>
  </w:style>
  <w:style w:type="character" w:customStyle="1" w:styleId="60">
    <w:name w:val="Encabezado Car"/>
    <w:basedOn w:val="38"/>
    <w:link w:val="22"/>
    <w:qFormat/>
    <w:uiPriority w:val="0"/>
    <w:rPr>
      <w:rFonts w:ascii="Times New Roman" w:hAnsi="Times New Roman" w:eastAsia="Times New Roman" w:cs="Mangal"/>
      <w:sz w:val="24"/>
      <w:szCs w:val="20"/>
      <w:lang w:eastAsia="hi-IN" w:bidi="hi-IN"/>
    </w:rPr>
  </w:style>
  <w:style w:type="character" w:customStyle="1" w:styleId="61">
    <w:name w:val="Pie de página Car"/>
    <w:basedOn w:val="38"/>
    <w:link w:val="30"/>
    <w:uiPriority w:val="99"/>
    <w:rPr>
      <w:rFonts w:ascii="Times New Roman" w:hAnsi="Times New Roman" w:eastAsia="Times New Roman" w:cs="Mangal"/>
      <w:sz w:val="24"/>
      <w:szCs w:val="20"/>
      <w:lang w:eastAsia="hi-IN" w:bidi="hi-IN"/>
    </w:rPr>
  </w:style>
  <w:style w:type="character" w:customStyle="1" w:styleId="62">
    <w:name w:val="Texto de globo Car"/>
    <w:basedOn w:val="38"/>
    <w:link w:val="17"/>
    <w:uiPriority w:val="99"/>
    <w:rPr>
      <w:rFonts w:ascii="Tahoma" w:hAnsi="Tahoma" w:eastAsia="Times New Roman" w:cs="Mangal"/>
      <w:sz w:val="16"/>
      <w:szCs w:val="14"/>
      <w:lang w:eastAsia="hi-IN" w:bidi="hi-IN"/>
    </w:rPr>
  </w:style>
  <w:style w:type="character" w:customStyle="1" w:styleId="63">
    <w:name w:val="Texto comentario Car"/>
    <w:basedOn w:val="38"/>
    <w:link w:val="16"/>
    <w:semiHidden/>
    <w:uiPriority w:val="99"/>
    <w:rPr>
      <w:rFonts w:ascii="Times New Roman" w:hAnsi="Times New Roman" w:eastAsia="Times New Roman" w:cs="Mangal"/>
      <w:sz w:val="20"/>
      <w:szCs w:val="18"/>
      <w:lang w:eastAsia="hi-IN" w:bidi="hi-IN"/>
    </w:rPr>
  </w:style>
  <w:style w:type="character" w:customStyle="1" w:styleId="64">
    <w:name w:val="Asunto del comentario Car"/>
    <w:basedOn w:val="63"/>
    <w:link w:val="15"/>
    <w:uiPriority w:val="99"/>
    <w:rPr>
      <w:rFonts w:ascii="Times New Roman" w:hAnsi="Times New Roman" w:eastAsia="Times New Roman" w:cs="Mangal"/>
      <w:b/>
      <w:bCs/>
      <w:sz w:val="20"/>
      <w:szCs w:val="18"/>
      <w:lang w:eastAsia="hi-IN" w:bidi="hi-IN"/>
    </w:rPr>
  </w:style>
  <w:style w:type="character" w:customStyle="1" w:styleId="65">
    <w:name w:val="Sangría de texto normal Car"/>
    <w:basedOn w:val="38"/>
    <w:link w:val="23"/>
    <w:uiPriority w:val="0"/>
    <w:rPr>
      <w:rFonts w:ascii="Times New Roman" w:hAnsi="Times New Roman" w:eastAsia="Times New Roman" w:cs="Times New Roman"/>
      <w:sz w:val="24"/>
      <w:szCs w:val="20"/>
      <w:lang w:eastAsia="hi-IN" w:bidi="hi-IN"/>
    </w:rPr>
  </w:style>
  <w:style w:type="paragraph" w:customStyle="1" w:styleId="66">
    <w:name w:val="Contenido de la tabla"/>
    <w:basedOn w:val="1"/>
    <w:uiPriority w:val="0"/>
    <w:pPr>
      <w:suppressLineNumbers/>
      <w:suppressAutoHyphens/>
      <w:spacing w:after="0" w:line="240" w:lineRule="auto"/>
    </w:pPr>
    <w:rPr>
      <w:rFonts w:ascii="Times New Roman" w:hAnsi="Times New Roman" w:eastAsia="Times New Roman" w:cs="Times New Roman"/>
      <w:sz w:val="24"/>
      <w:szCs w:val="20"/>
      <w:lang w:eastAsia="hi-IN" w:bidi="hi-IN"/>
    </w:rPr>
  </w:style>
  <w:style w:type="paragraph" w:customStyle="1" w:styleId="67">
    <w:name w:val="Default"/>
    <w:qFormat/>
    <w:uiPriority w:val="0"/>
    <w:pPr>
      <w:autoSpaceDE w:val="0"/>
      <w:autoSpaceDN w:val="0"/>
      <w:adjustRightInd w:val="0"/>
      <w:spacing w:after="0" w:line="240" w:lineRule="auto"/>
    </w:pPr>
    <w:rPr>
      <w:rFonts w:ascii="Calibri" w:hAnsi="Calibri" w:eastAsia="Calibri" w:cs="Calibri"/>
      <w:color w:val="000000"/>
      <w:sz w:val="24"/>
      <w:szCs w:val="24"/>
      <w:lang w:val="es-EC" w:eastAsia="es-EC" w:bidi="ar-SA"/>
    </w:rPr>
  </w:style>
  <w:style w:type="character" w:customStyle="1" w:styleId="68">
    <w:name w:val="Fuente de párrafo predeter.6"/>
    <w:qFormat/>
    <w:uiPriority w:val="0"/>
  </w:style>
  <w:style w:type="character" w:customStyle="1" w:styleId="69">
    <w:name w:val="Ref. de nota al pie1"/>
    <w:uiPriority w:val="0"/>
    <w:rPr>
      <w:vertAlign w:val="superscript"/>
    </w:rPr>
  </w:style>
  <w:style w:type="paragraph" w:customStyle="1" w:styleId="70">
    <w:name w:val="p4"/>
    <w:basedOn w:val="1"/>
    <w:qFormat/>
    <w:uiPriority w:val="0"/>
    <w:pPr>
      <w:widowControl w:val="0"/>
      <w:suppressAutoHyphens/>
      <w:spacing w:after="0" w:line="240" w:lineRule="atLeast"/>
      <w:jc w:val="both"/>
    </w:pPr>
    <w:rPr>
      <w:rFonts w:ascii="Courier New" w:hAnsi="Courier New" w:eastAsia="Times New Roman" w:cs="Times New Roman"/>
      <w:sz w:val="20"/>
      <w:szCs w:val="20"/>
      <w:lang w:val="es-ES" w:eastAsia="hi-IN" w:bidi="hi-IN"/>
    </w:rPr>
  </w:style>
  <w:style w:type="paragraph" w:customStyle="1" w:styleId="71">
    <w:name w:val="Texto Artículo"/>
    <w:next w:val="1"/>
    <w:uiPriority w:val="0"/>
    <w:pPr>
      <w:suppressAutoHyphens/>
      <w:spacing w:after="0" w:line="240" w:lineRule="auto"/>
      <w:ind w:left="90" w:right="1"/>
      <w:jc w:val="both"/>
    </w:pPr>
    <w:rPr>
      <w:rFonts w:ascii="Verdana" w:hAnsi="Verdana" w:eastAsia="Arial" w:cs="Times New Roman"/>
      <w:color w:val="000000"/>
      <w:sz w:val="20"/>
      <w:szCs w:val="20"/>
      <w:lang w:val="es-ES" w:eastAsia="hi-IN" w:bidi="hi-IN"/>
    </w:rPr>
  </w:style>
  <w:style w:type="paragraph" w:customStyle="1" w:styleId="72">
    <w:name w:val="Style 2"/>
    <w:basedOn w:val="1"/>
    <w:qFormat/>
    <w:uiPriority w:val="0"/>
    <w:pPr>
      <w:widowControl w:val="0"/>
      <w:suppressAutoHyphens/>
      <w:spacing w:after="0" w:line="240" w:lineRule="auto"/>
      <w:ind w:left="288" w:right="72" w:hanging="288"/>
      <w:jc w:val="both"/>
    </w:pPr>
    <w:rPr>
      <w:rFonts w:ascii="Times New Roman" w:hAnsi="Times New Roman" w:eastAsia="Times New Roman" w:cs="Times New Roman"/>
      <w:sz w:val="24"/>
      <w:szCs w:val="20"/>
      <w:lang w:val="en-US" w:eastAsia="hi-IN" w:bidi="hi-IN"/>
    </w:rPr>
  </w:style>
  <w:style w:type="paragraph" w:customStyle="1" w:styleId="73">
    <w:name w:val="Párrafo de lista1"/>
    <w:basedOn w:val="1"/>
    <w:uiPriority w:val="0"/>
    <w:pPr>
      <w:suppressAutoHyphens/>
      <w:spacing w:after="0" w:line="240" w:lineRule="auto"/>
      <w:ind w:left="720"/>
    </w:pPr>
    <w:rPr>
      <w:rFonts w:ascii="Times New Roman" w:hAnsi="Times New Roman" w:eastAsia="Lucida Sans Unicode" w:cs="Mangal"/>
      <w:kern w:val="1"/>
      <w:sz w:val="24"/>
      <w:szCs w:val="24"/>
      <w:lang w:eastAsia="hi-IN" w:bidi="hi-IN"/>
    </w:rPr>
  </w:style>
  <w:style w:type="character" w:customStyle="1" w:styleId="74">
    <w:name w:val="Fuente de párrafo predeter.1"/>
    <w:qFormat/>
    <w:uiPriority w:val="0"/>
  </w:style>
  <w:style w:type="paragraph" w:customStyle="1" w:styleId="75">
    <w:name w:val="Párrafo de lista2"/>
    <w:basedOn w:val="1"/>
    <w:qFormat/>
    <w:uiPriority w:val="0"/>
    <w:pPr>
      <w:suppressAutoHyphens/>
      <w:spacing w:after="0" w:line="240" w:lineRule="auto"/>
      <w:ind w:left="720"/>
    </w:pPr>
    <w:rPr>
      <w:rFonts w:ascii="Times New Roman" w:hAnsi="Times New Roman" w:eastAsia="Lucida Sans Unicode" w:cs="Mangal"/>
      <w:kern w:val="1"/>
      <w:sz w:val="24"/>
      <w:szCs w:val="24"/>
      <w:lang w:eastAsia="hi-IN" w:bidi="hi-IN"/>
    </w:rPr>
  </w:style>
  <w:style w:type="paragraph" w:customStyle="1" w:styleId="76">
    <w:name w:val="western"/>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77">
    <w:name w:val="Revision"/>
    <w:hidden/>
    <w:semiHidden/>
    <w:uiPriority w:val="99"/>
    <w:pPr>
      <w:spacing w:after="0" w:line="240" w:lineRule="auto"/>
    </w:pPr>
    <w:rPr>
      <w:rFonts w:ascii="Calibri" w:hAnsi="Calibri" w:eastAsia="Calibri" w:cs="Times New Roman"/>
      <w:sz w:val="22"/>
      <w:szCs w:val="22"/>
      <w:lang w:val="es-EC" w:eastAsia="es-EC" w:bidi="ar-SA"/>
    </w:rPr>
  </w:style>
  <w:style w:type="character" w:customStyle="1" w:styleId="78">
    <w:name w:val="Fuente de párrafo predeter.4"/>
    <w:uiPriority w:val="0"/>
  </w:style>
  <w:style w:type="character" w:customStyle="1" w:styleId="79">
    <w:name w:val="Texto sin formato Car"/>
    <w:basedOn w:val="38"/>
    <w:link w:val="36"/>
    <w:semiHidden/>
    <w:uiPriority w:val="99"/>
    <w:rPr>
      <w:rFonts w:ascii="Calibri" w:hAnsi="Calibri" w:eastAsia="Calibri" w:cs="Times New Roman"/>
      <w:szCs w:val="21"/>
    </w:rPr>
  </w:style>
  <w:style w:type="paragraph" w:customStyle="1" w:styleId="80">
    <w:name w:val="xl74"/>
    <w:basedOn w:val="1"/>
    <w:qFormat/>
    <w:uiPriority w:val="0"/>
    <w:pPr>
      <w:suppressAutoHyphens/>
      <w:spacing w:before="280" w:after="280" w:line="100" w:lineRule="atLeast"/>
      <w:jc w:val="center"/>
      <w:textAlignment w:val="baseline"/>
    </w:pPr>
    <w:rPr>
      <w:rFonts w:ascii="Arial" w:hAnsi="Arial" w:eastAsia="Arial Unicode MS" w:cs="Calibri"/>
      <w:b/>
      <w:bCs/>
      <w:sz w:val="24"/>
      <w:szCs w:val="24"/>
      <w:lang w:val="es-ES" w:eastAsia="ar-SA"/>
    </w:rPr>
  </w:style>
  <w:style w:type="paragraph" w:customStyle="1" w:styleId="81">
    <w:name w:val="xl25"/>
    <w:basedOn w:val="1"/>
    <w:qFormat/>
    <w:uiPriority w:val="0"/>
    <w:pPr>
      <w:shd w:val="clear" w:color="auto" w:fill="FFFFFF"/>
      <w:suppressAutoHyphens/>
      <w:spacing w:before="280" w:after="280" w:line="240" w:lineRule="auto"/>
    </w:pPr>
    <w:rPr>
      <w:rFonts w:ascii="Arial" w:hAnsi="Arial" w:eastAsia="Times New Roman" w:cs="Times New Roman"/>
      <w:b/>
      <w:sz w:val="24"/>
      <w:szCs w:val="20"/>
      <w:lang w:val="es-ES" w:eastAsia="hi-IN" w:bidi="hi-IN"/>
    </w:rPr>
  </w:style>
  <w:style w:type="character" w:customStyle="1" w:styleId="82">
    <w:name w:val="Texto nota pie Car"/>
    <w:basedOn w:val="38"/>
    <w:link w:val="12"/>
    <w:qFormat/>
    <w:uiPriority w:val="0"/>
    <w:rPr>
      <w:rFonts w:ascii="Calibri" w:hAnsi="Calibri" w:eastAsia="Calibri" w:cs="Times New Roman"/>
      <w:sz w:val="20"/>
      <w:szCs w:val="20"/>
    </w:rPr>
  </w:style>
  <w:style w:type="character" w:customStyle="1" w:styleId="83">
    <w:name w:val="Caracteres de nota al pie"/>
    <w:qFormat/>
    <w:uiPriority w:val="0"/>
    <w:rPr>
      <w:vertAlign w:val="superscript"/>
    </w:rPr>
  </w:style>
  <w:style w:type="paragraph" w:customStyle="1" w:styleId="84">
    <w:name w:val="Standard"/>
    <w:uiPriority w:val="0"/>
    <w:pPr>
      <w:tabs>
        <w:tab w:val="left" w:pos="708"/>
      </w:tabs>
      <w:suppressAutoHyphens/>
      <w:autoSpaceDN w:val="0"/>
      <w:spacing w:after="200" w:line="276" w:lineRule="auto"/>
      <w:textAlignment w:val="baseline"/>
    </w:pPr>
    <w:rPr>
      <w:rFonts w:ascii="Times New Roman" w:hAnsi="Times New Roman" w:eastAsia="Times New Roman" w:cs="Calibri"/>
      <w:kern w:val="3"/>
      <w:sz w:val="24"/>
      <w:szCs w:val="24"/>
      <w:lang w:val="es-EC" w:eastAsia="ar-SA" w:bidi="ar-SA"/>
    </w:rPr>
  </w:style>
  <w:style w:type="character" w:customStyle="1" w:styleId="85">
    <w:name w:val="Saludo Car"/>
    <w:basedOn w:val="38"/>
    <w:link w:val="31"/>
    <w:qFormat/>
    <w:uiPriority w:val="99"/>
    <w:rPr>
      <w:rFonts w:ascii="Times New Roman" w:hAnsi="Times New Roman" w:eastAsia="Times New Roman" w:cs="Mangal"/>
      <w:sz w:val="24"/>
      <w:szCs w:val="20"/>
      <w:lang w:eastAsia="hi-IN" w:bidi="hi-IN"/>
    </w:rPr>
  </w:style>
  <w:style w:type="character" w:customStyle="1" w:styleId="86">
    <w:name w:val="Cierre Car"/>
    <w:basedOn w:val="38"/>
    <w:link w:val="18"/>
    <w:qFormat/>
    <w:uiPriority w:val="99"/>
    <w:rPr>
      <w:rFonts w:ascii="Times New Roman" w:hAnsi="Times New Roman" w:eastAsia="Times New Roman" w:cs="Mangal"/>
      <w:sz w:val="24"/>
      <w:szCs w:val="20"/>
      <w:lang w:eastAsia="hi-IN" w:bidi="hi-IN"/>
    </w:rPr>
  </w:style>
  <w:style w:type="character" w:customStyle="1" w:styleId="87">
    <w:name w:val="Texto independiente primera sangría Car"/>
    <w:basedOn w:val="59"/>
    <w:link w:val="34"/>
    <w:uiPriority w:val="99"/>
    <w:rPr>
      <w:rFonts w:ascii="Times New Roman" w:hAnsi="Times New Roman" w:eastAsia="Times New Roman" w:cs="Mangal"/>
      <w:spacing w:val="-2"/>
      <w:sz w:val="24"/>
      <w:szCs w:val="20"/>
      <w:u w:val="single"/>
      <w:lang w:eastAsia="hi-IN" w:bidi="hi-IN"/>
    </w:rPr>
  </w:style>
  <w:style w:type="character" w:customStyle="1" w:styleId="88">
    <w:name w:val="Texto independiente primera sangría 2 Car"/>
    <w:basedOn w:val="65"/>
    <w:link w:val="35"/>
    <w:uiPriority w:val="99"/>
    <w:rPr>
      <w:rFonts w:ascii="Times New Roman" w:hAnsi="Times New Roman" w:eastAsia="Times New Roman" w:cs="Mangal"/>
      <w:sz w:val="24"/>
      <w:szCs w:val="20"/>
      <w:lang w:eastAsia="hi-IN" w:bidi="hi-IN"/>
    </w:rPr>
  </w:style>
  <w:style w:type="paragraph" w:customStyle="1" w:styleId="89">
    <w:name w:val="sdfootnote"/>
    <w:basedOn w:val="1"/>
    <w:qFormat/>
    <w:uiPriority w:val="0"/>
    <w:pPr>
      <w:suppressAutoHyphens/>
      <w:spacing w:before="100" w:beforeAutospacing="1" w:after="0" w:line="240" w:lineRule="auto"/>
      <w:ind w:left="284" w:hanging="284"/>
    </w:pPr>
    <w:rPr>
      <w:rFonts w:ascii="Times New Roman" w:hAnsi="Times New Roman" w:eastAsia="Times New Roman" w:cs="Times New Roman"/>
      <w:sz w:val="20"/>
      <w:szCs w:val="20"/>
      <w:lang w:bidi="hi-IN"/>
    </w:rPr>
  </w:style>
  <w:style w:type="paragraph" w:customStyle="1" w:styleId="90">
    <w:name w:val="western1"/>
    <w:basedOn w:val="1"/>
    <w:qFormat/>
    <w:uiPriority w:val="0"/>
    <w:pPr>
      <w:suppressAutoHyphens/>
      <w:spacing w:before="100" w:beforeAutospacing="1" w:after="0" w:line="240" w:lineRule="auto"/>
      <w:jc w:val="both"/>
    </w:pPr>
    <w:rPr>
      <w:rFonts w:ascii="Arial" w:hAnsi="Arial" w:eastAsia="Times New Roman" w:cs="Arial"/>
      <w:sz w:val="24"/>
      <w:szCs w:val="20"/>
      <w:u w:val="single"/>
      <w:lang w:bidi="hi-IN"/>
    </w:rPr>
  </w:style>
  <w:style w:type="character" w:customStyle="1" w:styleId="91">
    <w:name w:val="WW8Num7z0"/>
    <w:qFormat/>
    <w:uiPriority w:val="0"/>
    <w:rPr>
      <w:rFonts w:ascii="Wingdings" w:hAnsi="Wingdings"/>
    </w:rPr>
  </w:style>
  <w:style w:type="character" w:customStyle="1" w:styleId="92">
    <w:name w:val="WW8Num10z0"/>
    <w:qFormat/>
    <w:uiPriority w:val="0"/>
    <w:rPr>
      <w:rFonts w:ascii="Wingdings" w:hAnsi="Wingdings"/>
    </w:rPr>
  </w:style>
  <w:style w:type="character" w:customStyle="1" w:styleId="93">
    <w:name w:val="WW8Num36z0"/>
    <w:qFormat/>
    <w:uiPriority w:val="0"/>
    <w:rPr>
      <w:rFonts w:ascii="Bookman Old Style" w:hAnsi="Bookman Old Style"/>
    </w:rPr>
  </w:style>
  <w:style w:type="character" w:customStyle="1" w:styleId="94">
    <w:name w:val="WW8Num36z1"/>
    <w:qFormat/>
    <w:uiPriority w:val="0"/>
    <w:rPr>
      <w:rFonts w:ascii="Courier New" w:hAnsi="Courier New"/>
    </w:rPr>
  </w:style>
  <w:style w:type="character" w:customStyle="1" w:styleId="95">
    <w:name w:val="WW8Num37z0"/>
    <w:uiPriority w:val="0"/>
    <w:rPr>
      <w:rFonts w:ascii="Wingdings" w:hAnsi="Wingdings"/>
    </w:rPr>
  </w:style>
  <w:style w:type="character" w:customStyle="1" w:styleId="96">
    <w:name w:val="WW8Num37z1"/>
    <w:uiPriority w:val="0"/>
    <w:rPr>
      <w:rFonts w:ascii="Courier New" w:hAnsi="Courier New"/>
    </w:rPr>
  </w:style>
  <w:style w:type="character" w:customStyle="1" w:styleId="97">
    <w:name w:val="WW8Num38z0"/>
    <w:uiPriority w:val="0"/>
    <w:rPr>
      <w:rFonts w:ascii="Wingdings" w:hAnsi="Wingdings"/>
    </w:rPr>
  </w:style>
  <w:style w:type="character" w:customStyle="1" w:styleId="98">
    <w:name w:val="WW8Num38z1"/>
    <w:qFormat/>
    <w:uiPriority w:val="0"/>
    <w:rPr>
      <w:rFonts w:ascii="Courier New" w:hAnsi="Courier New"/>
    </w:rPr>
  </w:style>
  <w:style w:type="character" w:customStyle="1" w:styleId="99">
    <w:name w:val="WW8Num39z0"/>
    <w:qFormat/>
    <w:uiPriority w:val="0"/>
    <w:rPr>
      <w:rFonts w:ascii="Wingdings" w:hAnsi="Wingdings"/>
    </w:rPr>
  </w:style>
  <w:style w:type="character" w:customStyle="1" w:styleId="100">
    <w:name w:val="WW8Num39z1"/>
    <w:qFormat/>
    <w:uiPriority w:val="0"/>
    <w:rPr>
      <w:rFonts w:ascii="Courier New" w:hAnsi="Courier New"/>
    </w:rPr>
  </w:style>
  <w:style w:type="character" w:customStyle="1" w:styleId="101">
    <w:name w:val="Absatz-Standardschriftart"/>
    <w:qFormat/>
    <w:uiPriority w:val="0"/>
  </w:style>
  <w:style w:type="character" w:customStyle="1" w:styleId="102">
    <w:name w:val="WW-Absatz-Standardschriftart"/>
    <w:uiPriority w:val="0"/>
  </w:style>
  <w:style w:type="character" w:customStyle="1" w:styleId="103">
    <w:name w:val="WW-Absatz-Standardschriftart1"/>
    <w:qFormat/>
    <w:uiPriority w:val="0"/>
  </w:style>
  <w:style w:type="character" w:customStyle="1" w:styleId="104">
    <w:name w:val="WW8Num40z0"/>
    <w:uiPriority w:val="0"/>
    <w:rPr>
      <w:rFonts w:ascii="Wingdings" w:hAnsi="Wingdings"/>
    </w:rPr>
  </w:style>
  <w:style w:type="character" w:customStyle="1" w:styleId="105">
    <w:name w:val="WW8Num40z1"/>
    <w:uiPriority w:val="0"/>
    <w:rPr>
      <w:rFonts w:ascii="Courier New" w:hAnsi="Courier New"/>
    </w:rPr>
  </w:style>
  <w:style w:type="character" w:customStyle="1" w:styleId="106">
    <w:name w:val="WW-Absatz-Standardschriftart11"/>
    <w:qFormat/>
    <w:uiPriority w:val="0"/>
  </w:style>
  <w:style w:type="character" w:customStyle="1" w:styleId="107">
    <w:name w:val="WW-Absatz-Standardschriftart111"/>
    <w:uiPriority w:val="0"/>
  </w:style>
  <w:style w:type="character" w:customStyle="1" w:styleId="108">
    <w:name w:val="WW-Absatz-Standardschriftart1111"/>
    <w:uiPriority w:val="0"/>
  </w:style>
  <w:style w:type="character" w:customStyle="1" w:styleId="109">
    <w:name w:val="WW-Absatz-Standardschriftart11111"/>
    <w:qFormat/>
    <w:uiPriority w:val="0"/>
  </w:style>
  <w:style w:type="character" w:customStyle="1" w:styleId="110">
    <w:name w:val="WW-Absatz-Standardschriftart111111"/>
    <w:qFormat/>
    <w:uiPriority w:val="0"/>
  </w:style>
  <w:style w:type="character" w:customStyle="1" w:styleId="111">
    <w:name w:val="WW-Absatz-Standardschriftart1111111"/>
    <w:qFormat/>
    <w:uiPriority w:val="0"/>
  </w:style>
  <w:style w:type="character" w:customStyle="1" w:styleId="112">
    <w:name w:val="WW-Absatz-Standardschriftart11111111"/>
    <w:qFormat/>
    <w:uiPriority w:val="0"/>
  </w:style>
  <w:style w:type="character" w:customStyle="1" w:styleId="113">
    <w:name w:val="WW-Absatz-Standardschriftart111111111"/>
    <w:uiPriority w:val="0"/>
  </w:style>
  <w:style w:type="character" w:customStyle="1" w:styleId="114">
    <w:name w:val="WW-Absatz-Standardschriftart1111111111"/>
    <w:qFormat/>
    <w:uiPriority w:val="0"/>
  </w:style>
  <w:style w:type="character" w:customStyle="1" w:styleId="115">
    <w:name w:val="WW-Absatz-Standardschriftart11111111111"/>
    <w:qFormat/>
    <w:uiPriority w:val="0"/>
  </w:style>
  <w:style w:type="character" w:customStyle="1" w:styleId="116">
    <w:name w:val="WW-Absatz-Standardschriftart111111111111"/>
    <w:uiPriority w:val="0"/>
  </w:style>
  <w:style w:type="character" w:customStyle="1" w:styleId="117">
    <w:name w:val="WW-Absatz-Standardschriftart1111111111111"/>
    <w:qFormat/>
    <w:uiPriority w:val="0"/>
  </w:style>
  <w:style w:type="character" w:customStyle="1" w:styleId="118">
    <w:name w:val="WW8Num3z0"/>
    <w:qFormat/>
    <w:uiPriority w:val="0"/>
    <w:rPr>
      <w:rFonts w:ascii="Symbol" w:hAnsi="Symbol"/>
    </w:rPr>
  </w:style>
  <w:style w:type="character" w:customStyle="1" w:styleId="119">
    <w:name w:val="WW8Num4z0"/>
    <w:qFormat/>
    <w:uiPriority w:val="0"/>
    <w:rPr>
      <w:rFonts w:ascii="Wingdings" w:hAnsi="Wingdings"/>
    </w:rPr>
  </w:style>
  <w:style w:type="character" w:customStyle="1" w:styleId="120">
    <w:name w:val="WW8Num5z0"/>
    <w:qFormat/>
    <w:uiPriority w:val="0"/>
    <w:rPr>
      <w:rFonts w:ascii="Times New Roman" w:hAnsi="Times New Roman"/>
    </w:rPr>
  </w:style>
  <w:style w:type="character" w:customStyle="1" w:styleId="121">
    <w:name w:val="WW8Num11z0"/>
    <w:qFormat/>
    <w:uiPriority w:val="0"/>
    <w:rPr>
      <w:rFonts w:ascii="Wingdings" w:hAnsi="Wingdings"/>
    </w:rPr>
  </w:style>
  <w:style w:type="character" w:customStyle="1" w:styleId="122">
    <w:name w:val="WW8Num12z0"/>
    <w:qFormat/>
    <w:uiPriority w:val="0"/>
    <w:rPr>
      <w:rFonts w:ascii="Symbol" w:hAnsi="Symbol"/>
    </w:rPr>
  </w:style>
  <w:style w:type="character" w:customStyle="1" w:styleId="123">
    <w:name w:val="WW8Num13z0"/>
    <w:qFormat/>
    <w:uiPriority w:val="0"/>
    <w:rPr>
      <w:rFonts w:ascii="Bookman Old Style" w:hAnsi="Bookman Old Style"/>
    </w:rPr>
  </w:style>
  <w:style w:type="character" w:customStyle="1" w:styleId="124">
    <w:name w:val="WW8Num16z0"/>
    <w:qFormat/>
    <w:uiPriority w:val="0"/>
    <w:rPr>
      <w:rFonts w:ascii="Symbol" w:hAnsi="Symbol"/>
    </w:rPr>
  </w:style>
  <w:style w:type="character" w:customStyle="1" w:styleId="125">
    <w:name w:val="WW8Num26z0"/>
    <w:qFormat/>
    <w:uiPriority w:val="0"/>
    <w:rPr>
      <w:rFonts w:ascii="Symbol" w:hAnsi="Symbol"/>
      <w:b/>
    </w:rPr>
  </w:style>
  <w:style w:type="character" w:customStyle="1" w:styleId="126">
    <w:name w:val="WW8Num30z0"/>
    <w:uiPriority w:val="0"/>
    <w:rPr>
      <w:b/>
    </w:rPr>
  </w:style>
  <w:style w:type="character" w:customStyle="1" w:styleId="127">
    <w:name w:val="WW8Num32z0"/>
    <w:uiPriority w:val="0"/>
    <w:rPr>
      <w:rFonts w:ascii="Wingdings" w:hAnsi="Wingdings"/>
    </w:rPr>
  </w:style>
  <w:style w:type="character" w:customStyle="1" w:styleId="128">
    <w:name w:val="WW8Num44z0"/>
    <w:qFormat/>
    <w:uiPriority w:val="0"/>
    <w:rPr>
      <w:rFonts w:ascii="Wingdings" w:hAnsi="Wingdings"/>
    </w:rPr>
  </w:style>
  <w:style w:type="character" w:customStyle="1" w:styleId="129">
    <w:name w:val="WW8Num55z0"/>
    <w:qFormat/>
    <w:uiPriority w:val="0"/>
    <w:rPr>
      <w:rFonts w:ascii="Symbol" w:hAnsi="Symbol"/>
    </w:rPr>
  </w:style>
  <w:style w:type="character" w:customStyle="1" w:styleId="130">
    <w:name w:val="WW8Num55z1"/>
    <w:qFormat/>
    <w:uiPriority w:val="0"/>
    <w:rPr>
      <w:rFonts w:ascii="OpenSymbol" w:hAnsi="OpenSymbol"/>
    </w:rPr>
  </w:style>
  <w:style w:type="character" w:customStyle="1" w:styleId="131">
    <w:name w:val="WW8Num56z0"/>
    <w:qFormat/>
    <w:uiPriority w:val="0"/>
    <w:rPr>
      <w:rFonts w:ascii="Symbol" w:hAnsi="Symbol"/>
    </w:rPr>
  </w:style>
  <w:style w:type="character" w:customStyle="1" w:styleId="132">
    <w:name w:val="WW8Num56z1"/>
    <w:uiPriority w:val="0"/>
    <w:rPr>
      <w:rFonts w:ascii="OpenSymbol" w:hAnsi="OpenSymbol"/>
    </w:rPr>
  </w:style>
  <w:style w:type="character" w:customStyle="1" w:styleId="133">
    <w:name w:val="WW8Num57z0"/>
    <w:uiPriority w:val="0"/>
    <w:rPr>
      <w:rFonts w:ascii="Symbol" w:hAnsi="Symbol"/>
    </w:rPr>
  </w:style>
  <w:style w:type="character" w:customStyle="1" w:styleId="134">
    <w:name w:val="WW8Num57z1"/>
    <w:qFormat/>
    <w:uiPriority w:val="0"/>
    <w:rPr>
      <w:rFonts w:ascii="OpenSymbol" w:hAnsi="OpenSymbol"/>
    </w:rPr>
  </w:style>
  <w:style w:type="character" w:customStyle="1" w:styleId="135">
    <w:name w:val="WW-Absatz-Standardschriftart11111111111111"/>
    <w:qFormat/>
    <w:uiPriority w:val="0"/>
  </w:style>
  <w:style w:type="character" w:customStyle="1" w:styleId="136">
    <w:name w:val="WW8Num45z0"/>
    <w:uiPriority w:val="0"/>
    <w:rPr>
      <w:rFonts w:ascii="Symbol" w:hAnsi="Symbol"/>
    </w:rPr>
  </w:style>
  <w:style w:type="character" w:customStyle="1" w:styleId="137">
    <w:name w:val="WW8Num58z0"/>
    <w:qFormat/>
    <w:uiPriority w:val="0"/>
    <w:rPr>
      <w:rFonts w:ascii="Symbol" w:hAnsi="Symbol"/>
    </w:rPr>
  </w:style>
  <w:style w:type="character" w:customStyle="1" w:styleId="138">
    <w:name w:val="WW8Num58z1"/>
    <w:uiPriority w:val="0"/>
    <w:rPr>
      <w:rFonts w:ascii="OpenSymbol" w:hAnsi="OpenSymbol"/>
    </w:rPr>
  </w:style>
  <w:style w:type="character" w:customStyle="1" w:styleId="139">
    <w:name w:val="WW-Absatz-Standardschriftart111111111111111"/>
    <w:qFormat/>
    <w:uiPriority w:val="0"/>
  </w:style>
  <w:style w:type="character" w:customStyle="1" w:styleId="140">
    <w:name w:val="WW-Absatz-Standardschriftart1111111111111111"/>
    <w:qFormat/>
    <w:uiPriority w:val="0"/>
  </w:style>
  <w:style w:type="character" w:customStyle="1" w:styleId="141">
    <w:name w:val="WW-Absatz-Standardschriftart11111111111111111"/>
    <w:qFormat/>
    <w:uiPriority w:val="0"/>
  </w:style>
  <w:style w:type="character" w:customStyle="1" w:styleId="142">
    <w:name w:val="WW-Absatz-Standardschriftart111111111111111111"/>
    <w:qFormat/>
    <w:uiPriority w:val="0"/>
  </w:style>
  <w:style w:type="character" w:customStyle="1" w:styleId="143">
    <w:name w:val="WW-Absatz-Standardschriftart1111111111111111111"/>
    <w:uiPriority w:val="0"/>
  </w:style>
  <w:style w:type="character" w:customStyle="1" w:styleId="144">
    <w:name w:val="WW-Absatz-Standardschriftart11111111111111111111"/>
    <w:uiPriority w:val="0"/>
  </w:style>
  <w:style w:type="character" w:customStyle="1" w:styleId="145">
    <w:name w:val="WW-Absatz-Standardschriftart111111111111111111111"/>
    <w:uiPriority w:val="0"/>
  </w:style>
  <w:style w:type="character" w:customStyle="1" w:styleId="146">
    <w:name w:val="WW8Num14z0"/>
    <w:qFormat/>
    <w:uiPriority w:val="0"/>
    <w:rPr>
      <w:rFonts w:ascii="Symbol" w:hAnsi="Symbol"/>
    </w:rPr>
  </w:style>
  <w:style w:type="character" w:customStyle="1" w:styleId="147">
    <w:name w:val="WW8Num15z0"/>
    <w:qFormat/>
    <w:uiPriority w:val="0"/>
    <w:rPr>
      <w:b/>
    </w:rPr>
  </w:style>
  <w:style w:type="character" w:customStyle="1" w:styleId="148">
    <w:name w:val="WW8Num17z0"/>
    <w:qFormat/>
    <w:uiPriority w:val="0"/>
    <w:rPr>
      <w:rFonts w:ascii="Wingdings" w:hAnsi="Wingdings"/>
    </w:rPr>
  </w:style>
  <w:style w:type="character" w:customStyle="1" w:styleId="149">
    <w:name w:val="WW8Num20z0"/>
    <w:uiPriority w:val="0"/>
    <w:rPr>
      <w:rFonts w:ascii="Wingdings" w:hAnsi="Wingdings"/>
    </w:rPr>
  </w:style>
  <w:style w:type="character" w:customStyle="1" w:styleId="150">
    <w:name w:val="WW8Num34z0"/>
    <w:qFormat/>
    <w:uiPriority w:val="0"/>
    <w:rPr>
      <w:rFonts w:ascii="Symbol" w:hAnsi="Symbol"/>
    </w:rPr>
  </w:style>
  <w:style w:type="character" w:customStyle="1" w:styleId="151">
    <w:name w:val="WW8Num49z0"/>
    <w:qFormat/>
    <w:uiPriority w:val="0"/>
    <w:rPr>
      <w:rFonts w:ascii="Symbol" w:hAnsi="Symbol"/>
    </w:rPr>
  </w:style>
  <w:style w:type="character" w:customStyle="1" w:styleId="152">
    <w:name w:val="WW-Absatz-Standardschriftart1111111111111111111111"/>
    <w:uiPriority w:val="0"/>
  </w:style>
  <w:style w:type="character" w:customStyle="1" w:styleId="153">
    <w:name w:val="WW8Num9z0"/>
    <w:qFormat/>
    <w:uiPriority w:val="0"/>
    <w:rPr>
      <w:rFonts w:ascii="Symbol" w:hAnsi="Symbol"/>
    </w:rPr>
  </w:style>
  <w:style w:type="character" w:customStyle="1" w:styleId="154">
    <w:name w:val="WW8Num18z0"/>
    <w:qFormat/>
    <w:uiPriority w:val="0"/>
    <w:rPr>
      <w:rFonts w:ascii="Symbol" w:hAnsi="Symbol"/>
    </w:rPr>
  </w:style>
  <w:style w:type="character" w:customStyle="1" w:styleId="155">
    <w:name w:val="WW8Num19z0"/>
    <w:qFormat/>
    <w:uiPriority w:val="0"/>
    <w:rPr>
      <w:rFonts w:ascii="Symbol" w:hAnsi="Symbol"/>
    </w:rPr>
  </w:style>
  <w:style w:type="character" w:customStyle="1" w:styleId="156">
    <w:name w:val="WW8Num22z0"/>
    <w:qFormat/>
    <w:uiPriority w:val="0"/>
    <w:rPr>
      <w:rFonts w:ascii="Wingdings" w:hAnsi="Wingdings"/>
    </w:rPr>
  </w:style>
  <w:style w:type="character" w:customStyle="1" w:styleId="157">
    <w:name w:val="WW8Num51z0"/>
    <w:qFormat/>
    <w:uiPriority w:val="0"/>
    <w:rPr>
      <w:rFonts w:ascii="Symbol" w:hAnsi="Symbol"/>
    </w:rPr>
  </w:style>
  <w:style w:type="character" w:customStyle="1" w:styleId="158">
    <w:name w:val="WW-Absatz-Standardschriftart11111111111111111111111"/>
    <w:qFormat/>
    <w:uiPriority w:val="0"/>
  </w:style>
  <w:style w:type="character" w:customStyle="1" w:styleId="159">
    <w:name w:val="WW8Num33z0"/>
    <w:uiPriority w:val="0"/>
    <w:rPr>
      <w:rFonts w:ascii="Wingdings" w:hAnsi="Wingdings"/>
    </w:rPr>
  </w:style>
  <w:style w:type="character" w:customStyle="1" w:styleId="160">
    <w:name w:val="WW8Num52z0"/>
    <w:qFormat/>
    <w:uiPriority w:val="0"/>
    <w:rPr>
      <w:rFonts w:ascii="Symbol" w:hAnsi="Symbol"/>
    </w:rPr>
  </w:style>
  <w:style w:type="character" w:customStyle="1" w:styleId="161">
    <w:name w:val="WW-Absatz-Standardschriftart111111111111111111111111"/>
    <w:uiPriority w:val="0"/>
  </w:style>
  <w:style w:type="character" w:customStyle="1" w:styleId="162">
    <w:name w:val="WW-Absatz-Standardschriftart1111111111111111111111111"/>
    <w:qFormat/>
    <w:uiPriority w:val="0"/>
  </w:style>
  <w:style w:type="character" w:customStyle="1" w:styleId="163">
    <w:name w:val="WW-Absatz-Standardschriftart11111111111111111111111111"/>
    <w:uiPriority w:val="0"/>
  </w:style>
  <w:style w:type="character" w:customStyle="1" w:styleId="164">
    <w:name w:val="WW-Absatz-Standardschriftart111111111111111111111111111"/>
    <w:qFormat/>
    <w:uiPriority w:val="0"/>
  </w:style>
  <w:style w:type="character" w:customStyle="1" w:styleId="165">
    <w:name w:val="WW-Absatz-Standardschriftart1111111111111111111111111111"/>
    <w:qFormat/>
    <w:uiPriority w:val="0"/>
  </w:style>
  <w:style w:type="character" w:customStyle="1" w:styleId="166">
    <w:name w:val="WW8Num21z0"/>
    <w:uiPriority w:val="0"/>
    <w:rPr>
      <w:rFonts w:ascii="Bookman Old Style" w:hAnsi="Bookman Old Style"/>
    </w:rPr>
  </w:style>
  <w:style w:type="character" w:customStyle="1" w:styleId="167">
    <w:name w:val="WW8Num23z0"/>
    <w:qFormat/>
    <w:uiPriority w:val="0"/>
    <w:rPr>
      <w:rFonts w:ascii="Wingdings" w:hAnsi="Wingdings"/>
      <w:sz w:val="20"/>
    </w:rPr>
  </w:style>
  <w:style w:type="character" w:customStyle="1" w:styleId="168">
    <w:name w:val="WW8Num24z0"/>
    <w:qFormat/>
    <w:uiPriority w:val="0"/>
    <w:rPr>
      <w:rFonts w:ascii="Wingdings" w:hAnsi="Wingdings"/>
      <w:sz w:val="20"/>
    </w:rPr>
  </w:style>
  <w:style w:type="character" w:customStyle="1" w:styleId="169">
    <w:name w:val="WW8Num27z0"/>
    <w:qFormat/>
    <w:uiPriority w:val="0"/>
    <w:rPr>
      <w:rFonts w:ascii="Wingdings" w:hAnsi="Wingdings"/>
    </w:rPr>
  </w:style>
  <w:style w:type="character" w:customStyle="1" w:styleId="170">
    <w:name w:val="WW8Num43z0"/>
    <w:qFormat/>
    <w:uiPriority w:val="0"/>
    <w:rPr>
      <w:rFonts w:ascii="Wingdings" w:hAnsi="Wingdings"/>
    </w:rPr>
  </w:style>
  <w:style w:type="character" w:customStyle="1" w:styleId="171">
    <w:name w:val="WW8Num64z0"/>
    <w:uiPriority w:val="0"/>
    <w:rPr>
      <w:rFonts w:ascii="Symbol" w:hAnsi="Symbol"/>
    </w:rPr>
  </w:style>
  <w:style w:type="character" w:customStyle="1" w:styleId="172">
    <w:name w:val="WW8Num66z0"/>
    <w:qFormat/>
    <w:uiPriority w:val="0"/>
    <w:rPr>
      <w:rFonts w:ascii="Symbol" w:hAnsi="Symbol"/>
    </w:rPr>
  </w:style>
  <w:style w:type="character" w:customStyle="1" w:styleId="173">
    <w:name w:val="WW8Num79z0"/>
    <w:uiPriority w:val="0"/>
    <w:rPr>
      <w:rFonts w:ascii="Symbol" w:hAnsi="Symbol"/>
    </w:rPr>
  </w:style>
  <w:style w:type="character" w:customStyle="1" w:styleId="174">
    <w:name w:val="WW-Absatz-Standardschriftart11111111111111111111111111111"/>
    <w:qFormat/>
    <w:uiPriority w:val="0"/>
  </w:style>
  <w:style w:type="character" w:customStyle="1" w:styleId="175">
    <w:name w:val="WW-Absatz-Standardschriftart111111111111111111111111111111"/>
    <w:uiPriority w:val="0"/>
  </w:style>
  <w:style w:type="character" w:customStyle="1" w:styleId="176">
    <w:name w:val="WW8Num6z0"/>
    <w:qFormat/>
    <w:uiPriority w:val="0"/>
    <w:rPr>
      <w:rFonts w:ascii="Wingdings" w:hAnsi="Wingdings"/>
    </w:rPr>
  </w:style>
  <w:style w:type="character" w:customStyle="1" w:styleId="177">
    <w:name w:val="WW8Num25z0"/>
    <w:qFormat/>
    <w:uiPriority w:val="0"/>
    <w:rPr>
      <w:rFonts w:ascii="Symbol" w:hAnsi="Symbol"/>
    </w:rPr>
  </w:style>
  <w:style w:type="character" w:customStyle="1" w:styleId="178">
    <w:name w:val="WW8Num28z0"/>
    <w:qFormat/>
    <w:uiPriority w:val="0"/>
    <w:rPr>
      <w:rFonts w:ascii="Symbol" w:hAnsi="Symbol"/>
    </w:rPr>
  </w:style>
  <w:style w:type="character" w:customStyle="1" w:styleId="179">
    <w:name w:val="WW8Num65z0"/>
    <w:qFormat/>
    <w:uiPriority w:val="0"/>
    <w:rPr>
      <w:rFonts w:ascii="Symbol" w:hAnsi="Symbol"/>
    </w:rPr>
  </w:style>
  <w:style w:type="character" w:customStyle="1" w:styleId="180">
    <w:name w:val="WW8Num67z0"/>
    <w:qFormat/>
    <w:uiPriority w:val="0"/>
    <w:rPr>
      <w:rFonts w:ascii="Symbol" w:hAnsi="Symbol"/>
    </w:rPr>
  </w:style>
  <w:style w:type="character" w:customStyle="1" w:styleId="181">
    <w:name w:val="WW8Num80z0"/>
    <w:qFormat/>
    <w:uiPriority w:val="0"/>
    <w:rPr>
      <w:rFonts w:ascii="Symbol" w:hAnsi="Symbol"/>
    </w:rPr>
  </w:style>
  <w:style w:type="character" w:customStyle="1" w:styleId="182">
    <w:name w:val="WW-Absatz-Standardschriftart1111111111111111111111111111111"/>
    <w:uiPriority w:val="0"/>
  </w:style>
  <w:style w:type="character" w:customStyle="1" w:styleId="183">
    <w:name w:val="WW-Absatz-Standardschriftart11111111111111111111111111111111"/>
    <w:qFormat/>
    <w:uiPriority w:val="0"/>
  </w:style>
  <w:style w:type="character" w:customStyle="1" w:styleId="184">
    <w:name w:val="WW-Absatz-Standardschriftart111111111111111111111111111111111"/>
    <w:qFormat/>
    <w:uiPriority w:val="0"/>
  </w:style>
  <w:style w:type="character" w:customStyle="1" w:styleId="185">
    <w:name w:val="WW-Absatz-Standardschriftart1111111111111111111111111111111111"/>
    <w:uiPriority w:val="0"/>
  </w:style>
  <w:style w:type="character" w:customStyle="1" w:styleId="186">
    <w:name w:val="WW-Absatz-Standardschriftart11111111111111111111111111111111111"/>
    <w:uiPriority w:val="0"/>
  </w:style>
  <w:style w:type="character" w:customStyle="1" w:styleId="187">
    <w:name w:val="WW-Absatz-Standardschriftart111111111111111111111111111111111111"/>
    <w:qFormat/>
    <w:uiPriority w:val="0"/>
  </w:style>
  <w:style w:type="character" w:customStyle="1" w:styleId="188">
    <w:name w:val="WW8Num14z1"/>
    <w:qFormat/>
    <w:uiPriority w:val="0"/>
    <w:rPr>
      <w:rFonts w:ascii="Courier New" w:hAnsi="Courier New"/>
    </w:rPr>
  </w:style>
  <w:style w:type="character" w:customStyle="1" w:styleId="189">
    <w:name w:val="WW8Num15z1"/>
    <w:uiPriority w:val="0"/>
    <w:rPr>
      <w:rFonts w:ascii="OpenSymbol" w:hAnsi="OpenSymbol"/>
    </w:rPr>
  </w:style>
  <w:style w:type="character" w:customStyle="1" w:styleId="190">
    <w:name w:val="WW8Num16z1"/>
    <w:qFormat/>
    <w:uiPriority w:val="0"/>
    <w:rPr>
      <w:rFonts w:ascii="Courier New" w:hAnsi="Courier New"/>
    </w:rPr>
  </w:style>
  <w:style w:type="character" w:customStyle="1" w:styleId="191">
    <w:name w:val="WW8Num17z1"/>
    <w:qFormat/>
    <w:uiPriority w:val="0"/>
    <w:rPr>
      <w:rFonts w:ascii="Courier New" w:hAnsi="Courier New"/>
    </w:rPr>
  </w:style>
  <w:style w:type="character" w:customStyle="1" w:styleId="192">
    <w:name w:val="WW8Num18z1"/>
    <w:qFormat/>
    <w:uiPriority w:val="0"/>
    <w:rPr>
      <w:rFonts w:ascii="OpenSymbol" w:hAnsi="OpenSymbol"/>
    </w:rPr>
  </w:style>
  <w:style w:type="character" w:customStyle="1" w:styleId="193">
    <w:name w:val="WW8Num19z1"/>
    <w:qFormat/>
    <w:uiPriority w:val="0"/>
    <w:rPr>
      <w:rFonts w:ascii="Courier New" w:hAnsi="Courier New"/>
    </w:rPr>
  </w:style>
  <w:style w:type="character" w:customStyle="1" w:styleId="194">
    <w:name w:val="WW8Num21z1"/>
    <w:qFormat/>
    <w:uiPriority w:val="0"/>
    <w:rPr>
      <w:rFonts w:ascii="OpenSymbol" w:hAnsi="OpenSymbol"/>
    </w:rPr>
  </w:style>
  <w:style w:type="character" w:customStyle="1" w:styleId="195">
    <w:name w:val="WW-Absatz-Standardschriftart1111111111111111111111111111111111111"/>
    <w:qFormat/>
    <w:uiPriority w:val="0"/>
  </w:style>
  <w:style w:type="character" w:customStyle="1" w:styleId="196">
    <w:name w:val="WW-Absatz-Standardschriftart11111111111111111111111111111111111111"/>
    <w:uiPriority w:val="0"/>
  </w:style>
  <w:style w:type="character" w:customStyle="1" w:styleId="197">
    <w:name w:val="WW-Absatz-Standardschriftart111111111111111111111111111111111111111"/>
    <w:uiPriority w:val="0"/>
  </w:style>
  <w:style w:type="character" w:customStyle="1" w:styleId="198">
    <w:name w:val="WW-Absatz-Standardschriftart1111111111111111111111111111111111111111"/>
    <w:uiPriority w:val="0"/>
  </w:style>
  <w:style w:type="character" w:customStyle="1" w:styleId="199">
    <w:name w:val="WW-Absatz-Standardschriftart11111111111111111111111111111111111111111"/>
    <w:uiPriority w:val="0"/>
  </w:style>
  <w:style w:type="character" w:customStyle="1" w:styleId="200">
    <w:name w:val="WW8Num8z0"/>
    <w:qFormat/>
    <w:uiPriority w:val="0"/>
    <w:rPr>
      <w:rFonts w:ascii="Symbol" w:hAnsi="Symbol"/>
    </w:rPr>
  </w:style>
  <w:style w:type="character" w:customStyle="1" w:styleId="201">
    <w:name w:val="WW8Num11z1"/>
    <w:qFormat/>
    <w:uiPriority w:val="0"/>
    <w:rPr>
      <w:rFonts w:ascii="Courier New" w:hAnsi="Courier New"/>
    </w:rPr>
  </w:style>
  <w:style w:type="character" w:customStyle="1" w:styleId="202">
    <w:name w:val="WW-Absatz-Standardschriftart111111111111111111111111111111111111111111"/>
    <w:qFormat/>
    <w:uiPriority w:val="0"/>
  </w:style>
  <w:style w:type="character" w:customStyle="1" w:styleId="203">
    <w:name w:val="WW8Num12z1"/>
    <w:uiPriority w:val="0"/>
    <w:rPr>
      <w:rFonts w:ascii="Courier New" w:hAnsi="Courier New"/>
    </w:rPr>
  </w:style>
  <w:style w:type="character" w:customStyle="1" w:styleId="204">
    <w:name w:val="Fuente de párrafo predeter.5"/>
    <w:qFormat/>
    <w:uiPriority w:val="0"/>
  </w:style>
  <w:style w:type="character" w:customStyle="1" w:styleId="205">
    <w:name w:val="WW-Absatz-Standardschriftart1111111111111111111111111111111111111111111"/>
    <w:uiPriority w:val="0"/>
  </w:style>
  <w:style w:type="character" w:customStyle="1" w:styleId="206">
    <w:name w:val="WW8Num13z1"/>
    <w:qFormat/>
    <w:uiPriority w:val="0"/>
    <w:rPr>
      <w:rFonts w:ascii="OpenSymbol" w:hAnsi="OpenSymbol"/>
    </w:rPr>
  </w:style>
  <w:style w:type="character" w:customStyle="1" w:styleId="207">
    <w:name w:val="WW-Absatz-Standardschriftart11111111111111111111111111111111111111111111"/>
    <w:qFormat/>
    <w:uiPriority w:val="0"/>
  </w:style>
  <w:style w:type="character" w:customStyle="1" w:styleId="208">
    <w:name w:val="Fuente de párrafo predeter.3"/>
    <w:qFormat/>
    <w:uiPriority w:val="0"/>
  </w:style>
  <w:style w:type="character" w:customStyle="1" w:styleId="209">
    <w:name w:val="WW-Absatz-Standardschriftart111111111111111111111111111111111111111111111"/>
    <w:qFormat/>
    <w:uiPriority w:val="0"/>
  </w:style>
  <w:style w:type="character" w:customStyle="1" w:styleId="210">
    <w:name w:val="WW-Absatz-Standardschriftart1111111111111111111111111111111111111111111111"/>
    <w:qFormat/>
    <w:uiPriority w:val="0"/>
  </w:style>
  <w:style w:type="character" w:customStyle="1" w:styleId="211">
    <w:name w:val="WW8Num2z0"/>
    <w:qFormat/>
    <w:uiPriority w:val="0"/>
    <w:rPr>
      <w:rFonts w:ascii="Symbol" w:hAnsi="Symbol"/>
    </w:rPr>
  </w:style>
  <w:style w:type="character" w:customStyle="1" w:styleId="212">
    <w:name w:val="WW8Num17z2"/>
    <w:qFormat/>
    <w:uiPriority w:val="0"/>
  </w:style>
  <w:style w:type="character" w:customStyle="1" w:styleId="213">
    <w:name w:val="WW8Num19z2"/>
    <w:qFormat/>
    <w:uiPriority w:val="0"/>
    <w:rPr>
      <w:rFonts w:ascii="Wingdings" w:hAnsi="Wingdings"/>
    </w:rPr>
  </w:style>
  <w:style w:type="character" w:customStyle="1" w:styleId="214">
    <w:name w:val="WW8Num20z1"/>
    <w:qFormat/>
    <w:uiPriority w:val="0"/>
    <w:rPr>
      <w:rFonts w:ascii="Courier New" w:hAnsi="Courier New"/>
    </w:rPr>
  </w:style>
  <w:style w:type="character" w:customStyle="1" w:styleId="215">
    <w:name w:val="WW8Num20z2"/>
    <w:qFormat/>
    <w:uiPriority w:val="0"/>
    <w:rPr>
      <w:rFonts w:ascii="Wingdings" w:hAnsi="Wingdings"/>
    </w:rPr>
  </w:style>
  <w:style w:type="character" w:customStyle="1" w:styleId="216">
    <w:name w:val="WW8Num25z1"/>
    <w:qFormat/>
    <w:uiPriority w:val="0"/>
    <w:rPr>
      <w:rFonts w:ascii="Courier New" w:hAnsi="Courier New"/>
    </w:rPr>
  </w:style>
  <w:style w:type="character" w:customStyle="1" w:styleId="217">
    <w:name w:val="WW8Num25z2"/>
    <w:qFormat/>
    <w:uiPriority w:val="0"/>
    <w:rPr>
      <w:rFonts w:ascii="Wingdings" w:hAnsi="Wingdings"/>
    </w:rPr>
  </w:style>
  <w:style w:type="character" w:customStyle="1" w:styleId="218">
    <w:name w:val="WW8Num27z1"/>
    <w:qFormat/>
    <w:uiPriority w:val="0"/>
    <w:rPr>
      <w:rFonts w:ascii="Courier New" w:hAnsi="Courier New"/>
    </w:rPr>
  </w:style>
  <w:style w:type="character" w:customStyle="1" w:styleId="219">
    <w:name w:val="WW8Num27z2"/>
    <w:qFormat/>
    <w:uiPriority w:val="0"/>
    <w:rPr>
      <w:rFonts w:ascii="Wingdings" w:hAnsi="Wingdings"/>
    </w:rPr>
  </w:style>
  <w:style w:type="character" w:customStyle="1" w:styleId="220">
    <w:name w:val="WW8Num32z1"/>
    <w:qFormat/>
    <w:uiPriority w:val="0"/>
    <w:rPr>
      <w:rFonts w:ascii="Courier New" w:hAnsi="Courier New"/>
    </w:rPr>
  </w:style>
  <w:style w:type="character" w:customStyle="1" w:styleId="221">
    <w:name w:val="WW8Num32z2"/>
    <w:qFormat/>
    <w:uiPriority w:val="0"/>
    <w:rPr>
      <w:rFonts w:ascii="Wingdings" w:hAnsi="Wingdings"/>
    </w:rPr>
  </w:style>
  <w:style w:type="character" w:customStyle="1" w:styleId="222">
    <w:name w:val="WW8Num33z1"/>
    <w:qFormat/>
    <w:uiPriority w:val="0"/>
    <w:rPr>
      <w:rFonts w:ascii="Courier New" w:hAnsi="Courier New"/>
    </w:rPr>
  </w:style>
  <w:style w:type="character" w:customStyle="1" w:styleId="223">
    <w:name w:val="WW8Num33z2"/>
    <w:qFormat/>
    <w:uiPriority w:val="0"/>
    <w:rPr>
      <w:rFonts w:ascii="Wingdings" w:hAnsi="Wingdings"/>
    </w:rPr>
  </w:style>
  <w:style w:type="character" w:customStyle="1" w:styleId="224">
    <w:name w:val="WW8Num34z1"/>
    <w:qFormat/>
    <w:uiPriority w:val="0"/>
    <w:rPr>
      <w:rFonts w:ascii="Courier New" w:hAnsi="Courier New"/>
    </w:rPr>
  </w:style>
  <w:style w:type="character" w:customStyle="1" w:styleId="225">
    <w:name w:val="WW8Num34z2"/>
    <w:qFormat/>
    <w:uiPriority w:val="0"/>
    <w:rPr>
      <w:rFonts w:ascii="Wingdings" w:hAnsi="Wingdings"/>
    </w:rPr>
  </w:style>
  <w:style w:type="character" w:customStyle="1" w:styleId="226">
    <w:name w:val="WW8Num35z0"/>
    <w:qFormat/>
    <w:uiPriority w:val="0"/>
    <w:rPr>
      <w:rFonts w:ascii="Wingdings" w:hAnsi="Wingdings"/>
    </w:rPr>
  </w:style>
  <w:style w:type="character" w:customStyle="1" w:styleId="227">
    <w:name w:val="WW8Num35z1"/>
    <w:qFormat/>
    <w:uiPriority w:val="0"/>
    <w:rPr>
      <w:rFonts w:ascii="Courier New" w:hAnsi="Courier New"/>
    </w:rPr>
  </w:style>
  <w:style w:type="character" w:customStyle="1" w:styleId="228">
    <w:name w:val="WW8Num35z2"/>
    <w:qFormat/>
    <w:uiPriority w:val="0"/>
    <w:rPr>
      <w:rFonts w:ascii="Wingdings" w:hAnsi="Wingdings"/>
    </w:rPr>
  </w:style>
  <w:style w:type="character" w:customStyle="1" w:styleId="229">
    <w:name w:val="WW8Num36z2"/>
    <w:qFormat/>
    <w:uiPriority w:val="0"/>
    <w:rPr>
      <w:rFonts w:ascii="Wingdings" w:hAnsi="Wingdings"/>
    </w:rPr>
  </w:style>
  <w:style w:type="character" w:customStyle="1" w:styleId="230">
    <w:name w:val="WW8Num36z3"/>
    <w:qFormat/>
    <w:uiPriority w:val="0"/>
    <w:rPr>
      <w:rFonts w:ascii="Symbol" w:hAnsi="Symbol"/>
    </w:rPr>
  </w:style>
  <w:style w:type="character" w:customStyle="1" w:styleId="231">
    <w:name w:val="WW8Num37z2"/>
    <w:qFormat/>
    <w:uiPriority w:val="0"/>
    <w:rPr>
      <w:rFonts w:ascii="Wingdings" w:hAnsi="Wingdings"/>
    </w:rPr>
  </w:style>
  <w:style w:type="character" w:customStyle="1" w:styleId="232">
    <w:name w:val="WW8Num37z3"/>
    <w:qFormat/>
    <w:uiPriority w:val="0"/>
    <w:rPr>
      <w:rFonts w:ascii="Symbol" w:hAnsi="Symbol"/>
    </w:rPr>
  </w:style>
  <w:style w:type="character" w:customStyle="1" w:styleId="233">
    <w:name w:val="Fuente de párrafo predeter.2"/>
    <w:qFormat/>
    <w:uiPriority w:val="0"/>
  </w:style>
  <w:style w:type="character" w:customStyle="1" w:styleId="234">
    <w:name w:val="Car Car33"/>
    <w:qFormat/>
    <w:uiPriority w:val="0"/>
    <w:rPr>
      <w:rFonts w:ascii="Times New Roman" w:hAnsi="Times New Roman"/>
      <w:b/>
      <w:sz w:val="28"/>
      <w:lang w:val="es-EC"/>
    </w:rPr>
  </w:style>
  <w:style w:type="character" w:customStyle="1" w:styleId="235">
    <w:name w:val="Car Car27"/>
    <w:qFormat/>
    <w:uiPriority w:val="0"/>
    <w:rPr>
      <w:rFonts w:ascii="Arial" w:hAnsi="Arial"/>
      <w:spacing w:val="-2"/>
      <w:u w:val="single"/>
      <w:lang w:val="es-EC"/>
    </w:rPr>
  </w:style>
  <w:style w:type="character" w:customStyle="1" w:styleId="236">
    <w:name w:val="Car Car26"/>
    <w:qFormat/>
    <w:uiPriority w:val="0"/>
    <w:rPr>
      <w:rFonts w:ascii="Times New Roman" w:hAnsi="Times New Roman"/>
      <w:sz w:val="24"/>
      <w:lang w:val="es-EC"/>
    </w:rPr>
  </w:style>
  <w:style w:type="character" w:customStyle="1" w:styleId="237">
    <w:name w:val="Car Car25"/>
    <w:qFormat/>
    <w:uiPriority w:val="0"/>
    <w:rPr>
      <w:rFonts w:ascii="Times New Roman" w:hAnsi="Times New Roman"/>
      <w:sz w:val="20"/>
      <w:lang w:val="es-EC"/>
    </w:rPr>
  </w:style>
  <w:style w:type="character" w:customStyle="1" w:styleId="238">
    <w:name w:val="Símbolo de nota al pie"/>
    <w:qFormat/>
    <w:uiPriority w:val="0"/>
    <w:rPr>
      <w:vertAlign w:val="superscript"/>
    </w:rPr>
  </w:style>
  <w:style w:type="character" w:customStyle="1" w:styleId="239">
    <w:name w:val="Ref. de comentario2"/>
    <w:qFormat/>
    <w:uiPriority w:val="0"/>
    <w:rPr>
      <w:sz w:val="16"/>
    </w:rPr>
  </w:style>
  <w:style w:type="character" w:customStyle="1" w:styleId="240">
    <w:name w:val="Car Car24"/>
    <w:qFormat/>
    <w:uiPriority w:val="0"/>
    <w:rPr>
      <w:rFonts w:ascii="Times New Roman" w:hAnsi="Times New Roman"/>
      <w:sz w:val="20"/>
      <w:lang w:val="es-EC"/>
    </w:rPr>
  </w:style>
  <w:style w:type="character" w:customStyle="1" w:styleId="241">
    <w:name w:val="Car Car23"/>
    <w:qFormat/>
    <w:uiPriority w:val="0"/>
    <w:rPr>
      <w:rFonts w:ascii="Tahoma" w:hAnsi="Tahoma"/>
      <w:sz w:val="16"/>
      <w:lang w:val="es-EC"/>
    </w:rPr>
  </w:style>
  <w:style w:type="character" w:customStyle="1" w:styleId="242">
    <w:name w:val="Car Car31"/>
    <w:qFormat/>
    <w:uiPriority w:val="0"/>
    <w:rPr>
      <w:rFonts w:ascii="Cambria" w:hAnsi="Cambria"/>
      <w:i/>
      <w:color w:val="000080"/>
      <w:sz w:val="24"/>
      <w:lang w:val="es-EC"/>
    </w:rPr>
  </w:style>
  <w:style w:type="character" w:customStyle="1" w:styleId="243">
    <w:name w:val="Car Car29"/>
    <w:qFormat/>
    <w:uiPriority w:val="0"/>
    <w:rPr>
      <w:rFonts w:ascii="Cambria" w:hAnsi="Cambria"/>
      <w:color w:val="808080"/>
      <w:sz w:val="20"/>
      <w:lang w:val="es-EC"/>
    </w:rPr>
  </w:style>
  <w:style w:type="character" w:customStyle="1" w:styleId="244">
    <w:name w:val="Car Car36"/>
    <w:qFormat/>
    <w:uiPriority w:val="0"/>
    <w:rPr>
      <w:rFonts w:ascii="Courier New" w:hAnsi="Courier New"/>
      <w:b/>
      <w:spacing w:val="-2"/>
      <w:lang w:val="es-ES"/>
    </w:rPr>
  </w:style>
  <w:style w:type="character" w:customStyle="1" w:styleId="245">
    <w:name w:val="Car Car35"/>
    <w:qFormat/>
    <w:uiPriority w:val="0"/>
    <w:rPr>
      <w:rFonts w:ascii="Arial" w:hAnsi="Arial"/>
      <w:b/>
      <w:spacing w:val="-3"/>
      <w:sz w:val="24"/>
      <w:lang w:val="en-US"/>
    </w:rPr>
  </w:style>
  <w:style w:type="character" w:customStyle="1" w:styleId="246">
    <w:name w:val="Car Car34"/>
    <w:qFormat/>
    <w:uiPriority w:val="0"/>
    <w:rPr>
      <w:rFonts w:ascii="Arial" w:hAnsi="Arial"/>
      <w:b/>
      <w:sz w:val="26"/>
      <w:lang w:val="es-EC"/>
    </w:rPr>
  </w:style>
  <w:style w:type="character" w:customStyle="1" w:styleId="247">
    <w:name w:val="Car Car32"/>
    <w:qFormat/>
    <w:uiPriority w:val="0"/>
    <w:rPr>
      <w:rFonts w:ascii="Times New Roman" w:hAnsi="Times New Roman"/>
      <w:b/>
      <w:i/>
      <w:sz w:val="26"/>
      <w:lang w:val="es-EC"/>
    </w:rPr>
  </w:style>
  <w:style w:type="character" w:customStyle="1" w:styleId="248">
    <w:name w:val="Car Car30"/>
    <w:qFormat/>
    <w:uiPriority w:val="0"/>
    <w:rPr>
      <w:rFonts w:ascii="Flat Brush" w:hAnsi="Flat Brush"/>
      <w:b/>
      <w:sz w:val="32"/>
      <w:lang w:val="es-ES"/>
    </w:rPr>
  </w:style>
  <w:style w:type="character" w:customStyle="1" w:styleId="249">
    <w:name w:val="Car Car28"/>
    <w:qFormat/>
    <w:uiPriority w:val="0"/>
    <w:rPr>
      <w:rFonts w:ascii="Dolphin" w:hAnsi="Dolphin"/>
      <w:b/>
      <w:sz w:val="36"/>
      <w:lang w:val="es-ES"/>
    </w:rPr>
  </w:style>
  <w:style w:type="character" w:customStyle="1" w:styleId="250">
    <w:name w:val="Encabezado 2 Car1"/>
    <w:qFormat/>
    <w:uiPriority w:val="0"/>
    <w:rPr>
      <w:rFonts w:ascii="Courier New" w:hAnsi="Courier New"/>
      <w:sz w:val="20"/>
      <w:lang w:val="en-US"/>
    </w:rPr>
  </w:style>
  <w:style w:type="character" w:customStyle="1" w:styleId="251">
    <w:name w:val="WW8Num1z0"/>
    <w:qFormat/>
    <w:uiPriority w:val="0"/>
    <w:rPr>
      <w:rFonts w:ascii="Symbol" w:hAnsi="Symbol"/>
    </w:rPr>
  </w:style>
  <w:style w:type="character" w:customStyle="1" w:styleId="252">
    <w:name w:val="WW8Num4z1"/>
    <w:qFormat/>
    <w:uiPriority w:val="0"/>
    <w:rPr>
      <w:rFonts w:ascii="Courier New" w:hAnsi="Courier New"/>
    </w:rPr>
  </w:style>
  <w:style w:type="character" w:customStyle="1" w:styleId="253">
    <w:name w:val="WW8Num4z3"/>
    <w:qFormat/>
    <w:uiPriority w:val="0"/>
    <w:rPr>
      <w:rFonts w:ascii="Symbol" w:hAnsi="Symbol"/>
    </w:rPr>
  </w:style>
  <w:style w:type="character" w:customStyle="1" w:styleId="254">
    <w:name w:val="WW8Num5z1"/>
    <w:qFormat/>
    <w:uiPriority w:val="0"/>
    <w:rPr>
      <w:rFonts w:ascii="Courier New" w:hAnsi="Courier New"/>
    </w:rPr>
  </w:style>
  <w:style w:type="character" w:customStyle="1" w:styleId="255">
    <w:name w:val="WW8Num5z2"/>
    <w:qFormat/>
    <w:uiPriority w:val="0"/>
    <w:rPr>
      <w:rFonts w:ascii="Wingdings" w:hAnsi="Wingdings"/>
    </w:rPr>
  </w:style>
  <w:style w:type="character" w:customStyle="1" w:styleId="256">
    <w:name w:val="WW8Num5z3"/>
    <w:qFormat/>
    <w:uiPriority w:val="0"/>
    <w:rPr>
      <w:rFonts w:ascii="Symbol" w:hAnsi="Symbol"/>
    </w:rPr>
  </w:style>
  <w:style w:type="character" w:customStyle="1" w:styleId="257">
    <w:name w:val="WW8Num6z1"/>
    <w:qFormat/>
    <w:uiPriority w:val="0"/>
    <w:rPr>
      <w:rFonts w:ascii="Courier New" w:hAnsi="Courier New"/>
    </w:rPr>
  </w:style>
  <w:style w:type="character" w:customStyle="1" w:styleId="258">
    <w:name w:val="WW8Num6z3"/>
    <w:qFormat/>
    <w:uiPriority w:val="0"/>
    <w:rPr>
      <w:rFonts w:ascii="Symbol" w:hAnsi="Symbol"/>
    </w:rPr>
  </w:style>
  <w:style w:type="character" w:customStyle="1" w:styleId="259">
    <w:name w:val="WW8Num7z1"/>
    <w:qFormat/>
    <w:uiPriority w:val="0"/>
    <w:rPr>
      <w:rFonts w:ascii="Courier New" w:hAnsi="Courier New"/>
    </w:rPr>
  </w:style>
  <w:style w:type="character" w:customStyle="1" w:styleId="260">
    <w:name w:val="WW8Num7z3"/>
    <w:qFormat/>
    <w:uiPriority w:val="0"/>
    <w:rPr>
      <w:rFonts w:ascii="Symbol" w:hAnsi="Symbol"/>
    </w:rPr>
  </w:style>
  <w:style w:type="character" w:customStyle="1" w:styleId="261">
    <w:name w:val="WW8Num9z1"/>
    <w:qFormat/>
    <w:uiPriority w:val="0"/>
    <w:rPr>
      <w:rFonts w:ascii="Courier New" w:hAnsi="Courier New"/>
    </w:rPr>
  </w:style>
  <w:style w:type="character" w:customStyle="1" w:styleId="262">
    <w:name w:val="WW8Num9z2"/>
    <w:qFormat/>
    <w:uiPriority w:val="0"/>
    <w:rPr>
      <w:rFonts w:ascii="Wingdings" w:hAnsi="Wingdings"/>
    </w:rPr>
  </w:style>
  <w:style w:type="character" w:customStyle="1" w:styleId="263">
    <w:name w:val="WW8Num10z3"/>
    <w:qFormat/>
    <w:uiPriority w:val="0"/>
    <w:rPr>
      <w:rFonts w:ascii="Symbol" w:hAnsi="Symbol"/>
    </w:rPr>
  </w:style>
  <w:style w:type="character" w:customStyle="1" w:styleId="264">
    <w:name w:val="WW8Num10z4"/>
    <w:qFormat/>
    <w:uiPriority w:val="0"/>
    <w:rPr>
      <w:rFonts w:ascii="Courier New" w:hAnsi="Courier New"/>
    </w:rPr>
  </w:style>
  <w:style w:type="character" w:customStyle="1" w:styleId="265">
    <w:name w:val="WW8Num11z3"/>
    <w:qFormat/>
    <w:uiPriority w:val="0"/>
    <w:rPr>
      <w:rFonts w:ascii="Symbol" w:hAnsi="Symbol"/>
    </w:rPr>
  </w:style>
  <w:style w:type="character" w:customStyle="1" w:styleId="266">
    <w:name w:val="WW8Num12z2"/>
    <w:qFormat/>
    <w:uiPriority w:val="0"/>
    <w:rPr>
      <w:rFonts w:ascii="Wingdings" w:hAnsi="Wingdings"/>
    </w:rPr>
  </w:style>
  <w:style w:type="character" w:customStyle="1" w:styleId="267">
    <w:name w:val="WW8Num14z2"/>
    <w:qFormat/>
    <w:uiPriority w:val="0"/>
    <w:rPr>
      <w:rFonts w:ascii="Wingdings" w:hAnsi="Wingdings"/>
    </w:rPr>
  </w:style>
  <w:style w:type="character" w:customStyle="1" w:styleId="268">
    <w:name w:val="WW8Num16z2"/>
    <w:qFormat/>
    <w:uiPriority w:val="0"/>
    <w:rPr>
      <w:rFonts w:ascii="Wingdings" w:hAnsi="Wingdings"/>
    </w:rPr>
  </w:style>
  <w:style w:type="character" w:customStyle="1" w:styleId="269">
    <w:name w:val="WW8Num17z3"/>
    <w:qFormat/>
    <w:uiPriority w:val="0"/>
    <w:rPr>
      <w:rFonts w:ascii="Symbol" w:hAnsi="Symbol"/>
    </w:rPr>
  </w:style>
  <w:style w:type="character" w:customStyle="1" w:styleId="270">
    <w:name w:val="WW8Num20z3"/>
    <w:uiPriority w:val="0"/>
    <w:rPr>
      <w:rFonts w:ascii="Symbol" w:hAnsi="Symbol"/>
    </w:rPr>
  </w:style>
  <w:style w:type="character" w:customStyle="1" w:styleId="271">
    <w:name w:val="WW8Num20z4"/>
    <w:qFormat/>
    <w:uiPriority w:val="0"/>
    <w:rPr>
      <w:rFonts w:ascii="Courier New" w:hAnsi="Courier New"/>
    </w:rPr>
  </w:style>
  <w:style w:type="character" w:customStyle="1" w:styleId="272">
    <w:name w:val="WW8Num22z1"/>
    <w:uiPriority w:val="0"/>
    <w:rPr>
      <w:rFonts w:ascii="Courier New" w:hAnsi="Courier New"/>
    </w:rPr>
  </w:style>
  <w:style w:type="character" w:customStyle="1" w:styleId="273">
    <w:name w:val="WW8Num22z3"/>
    <w:uiPriority w:val="0"/>
    <w:rPr>
      <w:rFonts w:ascii="Symbol" w:hAnsi="Symbol"/>
    </w:rPr>
  </w:style>
  <w:style w:type="character" w:customStyle="1" w:styleId="274">
    <w:name w:val="WW8Num23z1"/>
    <w:uiPriority w:val="0"/>
    <w:rPr>
      <w:rFonts w:ascii="Symbol" w:hAnsi="Symbol"/>
      <w:sz w:val="20"/>
    </w:rPr>
  </w:style>
  <w:style w:type="character" w:customStyle="1" w:styleId="275">
    <w:name w:val="WW8Num24z1"/>
    <w:uiPriority w:val="0"/>
    <w:rPr>
      <w:rFonts w:ascii="Symbol" w:hAnsi="Symbol"/>
      <w:sz w:val="20"/>
    </w:rPr>
  </w:style>
  <w:style w:type="character" w:customStyle="1" w:styleId="276">
    <w:name w:val="WW8Num27z3"/>
    <w:uiPriority w:val="0"/>
    <w:rPr>
      <w:rFonts w:ascii="Symbol" w:hAnsi="Symbol"/>
    </w:rPr>
  </w:style>
  <w:style w:type="character" w:customStyle="1" w:styleId="277">
    <w:name w:val="WW8Num31z0"/>
    <w:uiPriority w:val="0"/>
    <w:rPr>
      <w:rFonts w:ascii="Symbol" w:hAnsi="Symbol"/>
    </w:rPr>
  </w:style>
  <w:style w:type="character" w:customStyle="1" w:styleId="278">
    <w:name w:val="WW8Num31z1"/>
    <w:uiPriority w:val="0"/>
    <w:rPr>
      <w:rFonts w:ascii="Courier New" w:hAnsi="Courier New"/>
    </w:rPr>
  </w:style>
  <w:style w:type="character" w:customStyle="1" w:styleId="279">
    <w:name w:val="WW8Num31z2"/>
    <w:uiPriority w:val="0"/>
    <w:rPr>
      <w:rFonts w:ascii="Wingdings" w:hAnsi="Wingdings"/>
    </w:rPr>
  </w:style>
  <w:style w:type="character" w:customStyle="1" w:styleId="280">
    <w:name w:val="WW8Num32z3"/>
    <w:uiPriority w:val="0"/>
    <w:rPr>
      <w:rFonts w:ascii="Symbol" w:hAnsi="Symbol"/>
    </w:rPr>
  </w:style>
  <w:style w:type="character" w:customStyle="1" w:styleId="281">
    <w:name w:val="WW8Num33z3"/>
    <w:uiPriority w:val="0"/>
    <w:rPr>
      <w:rFonts w:ascii="Symbol" w:hAnsi="Symbol"/>
    </w:rPr>
  </w:style>
  <w:style w:type="character" w:customStyle="1" w:styleId="282">
    <w:name w:val="WW8Num35z3"/>
    <w:uiPriority w:val="0"/>
    <w:rPr>
      <w:rFonts w:ascii="Symbol" w:hAnsi="Symbol"/>
    </w:rPr>
  </w:style>
  <w:style w:type="character" w:customStyle="1" w:styleId="283">
    <w:name w:val="WW8Num38z3"/>
    <w:uiPriority w:val="0"/>
    <w:rPr>
      <w:rFonts w:ascii="Symbol" w:hAnsi="Symbol"/>
    </w:rPr>
  </w:style>
  <w:style w:type="character" w:customStyle="1" w:styleId="284">
    <w:name w:val="WW8Num39z3"/>
    <w:uiPriority w:val="0"/>
    <w:rPr>
      <w:rFonts w:ascii="Symbol" w:hAnsi="Symbol"/>
    </w:rPr>
  </w:style>
  <w:style w:type="character" w:customStyle="1" w:styleId="285">
    <w:name w:val="WW8Num40z3"/>
    <w:uiPriority w:val="0"/>
    <w:rPr>
      <w:rFonts w:ascii="Symbol" w:hAnsi="Symbol"/>
    </w:rPr>
  </w:style>
  <w:style w:type="character" w:customStyle="1" w:styleId="286">
    <w:name w:val="WW8Num41z0"/>
    <w:uiPriority w:val="0"/>
    <w:rPr>
      <w:rFonts w:ascii="Wingdings" w:hAnsi="Wingdings"/>
    </w:rPr>
  </w:style>
  <w:style w:type="character" w:customStyle="1" w:styleId="287">
    <w:name w:val="WW8Num41z1"/>
    <w:uiPriority w:val="0"/>
    <w:rPr>
      <w:rFonts w:ascii="Courier New" w:hAnsi="Courier New"/>
    </w:rPr>
  </w:style>
  <w:style w:type="character" w:customStyle="1" w:styleId="288">
    <w:name w:val="WW8Num41z3"/>
    <w:uiPriority w:val="0"/>
    <w:rPr>
      <w:rFonts w:ascii="Symbol" w:hAnsi="Symbol"/>
    </w:rPr>
  </w:style>
  <w:style w:type="character" w:customStyle="1" w:styleId="289">
    <w:name w:val="WW8Num42z0"/>
    <w:uiPriority w:val="0"/>
    <w:rPr>
      <w:rFonts w:ascii="Wingdings" w:hAnsi="Wingdings"/>
    </w:rPr>
  </w:style>
  <w:style w:type="character" w:customStyle="1" w:styleId="290">
    <w:name w:val="WW8Num42z1"/>
    <w:qFormat/>
    <w:uiPriority w:val="0"/>
    <w:rPr>
      <w:rFonts w:ascii="Courier New" w:hAnsi="Courier New"/>
    </w:rPr>
  </w:style>
  <w:style w:type="character" w:customStyle="1" w:styleId="291">
    <w:name w:val="WW8Num42z3"/>
    <w:uiPriority w:val="0"/>
    <w:rPr>
      <w:rFonts w:ascii="Symbol" w:hAnsi="Symbol"/>
    </w:rPr>
  </w:style>
  <w:style w:type="character" w:customStyle="1" w:styleId="292">
    <w:name w:val="WW8Num43z1"/>
    <w:uiPriority w:val="0"/>
    <w:rPr>
      <w:rFonts w:ascii="Courier New" w:hAnsi="Courier New"/>
    </w:rPr>
  </w:style>
  <w:style w:type="character" w:customStyle="1" w:styleId="293">
    <w:name w:val="WW8Num43z3"/>
    <w:uiPriority w:val="0"/>
    <w:rPr>
      <w:rFonts w:ascii="Symbol" w:hAnsi="Symbol"/>
    </w:rPr>
  </w:style>
  <w:style w:type="character" w:customStyle="1" w:styleId="294">
    <w:name w:val="WW8Num44z1"/>
    <w:uiPriority w:val="0"/>
    <w:rPr>
      <w:rFonts w:ascii="Courier New" w:hAnsi="Courier New"/>
    </w:rPr>
  </w:style>
  <w:style w:type="character" w:customStyle="1" w:styleId="295">
    <w:name w:val="WW8Num44z3"/>
    <w:uiPriority w:val="0"/>
    <w:rPr>
      <w:rFonts w:ascii="Symbol" w:hAnsi="Symbol"/>
    </w:rPr>
  </w:style>
  <w:style w:type="character" w:customStyle="1" w:styleId="296">
    <w:name w:val="Parte Car"/>
    <w:uiPriority w:val="0"/>
    <w:rPr>
      <w:rFonts w:ascii="Courier New" w:hAnsi="Courier New"/>
      <w:b/>
      <w:spacing w:val="-2"/>
      <w:sz w:val="22"/>
      <w:lang w:val="es-ES"/>
    </w:rPr>
  </w:style>
  <w:style w:type="character" w:customStyle="1" w:styleId="297">
    <w:name w:val="Artículo Car"/>
    <w:qFormat/>
    <w:uiPriority w:val="0"/>
    <w:rPr>
      <w:rFonts w:ascii="Arial" w:hAnsi="Arial"/>
      <w:b/>
      <w:spacing w:val="-2"/>
      <w:lang w:val="es-ES"/>
    </w:rPr>
  </w:style>
  <w:style w:type="character" w:customStyle="1" w:styleId="298">
    <w:name w:val="Car Car17"/>
    <w:uiPriority w:val="0"/>
    <w:rPr>
      <w:rFonts w:ascii="Arial" w:hAnsi="Arial"/>
      <w:b/>
      <w:spacing w:val="-3"/>
      <w:sz w:val="24"/>
      <w:lang w:val="es-ES"/>
    </w:rPr>
  </w:style>
  <w:style w:type="character" w:customStyle="1" w:styleId="299">
    <w:name w:val="Car Car16"/>
    <w:uiPriority w:val="0"/>
    <w:rPr>
      <w:rFonts w:ascii="Arial" w:hAnsi="Arial"/>
      <w:b/>
      <w:spacing w:val="-3"/>
      <w:sz w:val="24"/>
      <w:lang w:val="es-EC"/>
    </w:rPr>
  </w:style>
  <w:style w:type="character" w:customStyle="1" w:styleId="300">
    <w:name w:val="Car Car15"/>
    <w:uiPriority w:val="0"/>
    <w:rPr>
      <w:rFonts w:ascii="Arial" w:hAnsi="Arial"/>
      <w:b/>
      <w:sz w:val="28"/>
      <w:lang w:val="es-ES"/>
    </w:rPr>
  </w:style>
  <w:style w:type="character" w:customStyle="1" w:styleId="301">
    <w:name w:val="Car Car14"/>
    <w:uiPriority w:val="0"/>
    <w:rPr>
      <w:rFonts w:ascii="Flat Brush" w:hAnsi="Flat Brush"/>
      <w:b/>
      <w:sz w:val="32"/>
      <w:lang w:val="es-ES"/>
    </w:rPr>
  </w:style>
  <w:style w:type="character" w:customStyle="1" w:styleId="302">
    <w:name w:val="Car Car13"/>
    <w:uiPriority w:val="0"/>
    <w:rPr>
      <w:rFonts w:ascii="Arial" w:hAnsi="Arial"/>
      <w:sz w:val="32"/>
      <w:lang w:val="es-ES"/>
    </w:rPr>
  </w:style>
  <w:style w:type="character" w:customStyle="1" w:styleId="303">
    <w:name w:val="Car Car12"/>
    <w:uiPriority w:val="0"/>
    <w:rPr>
      <w:rFonts w:ascii="Dolphin" w:hAnsi="Dolphin"/>
      <w:b/>
      <w:sz w:val="36"/>
      <w:lang w:val="es-ES"/>
    </w:rPr>
  </w:style>
  <w:style w:type="character" w:customStyle="1" w:styleId="304">
    <w:name w:val="Encabezado 2 Car"/>
    <w:uiPriority w:val="0"/>
    <w:rPr>
      <w:rFonts w:ascii="Courier New" w:hAnsi="Courier New"/>
      <w:lang w:val="en-US"/>
    </w:rPr>
  </w:style>
  <w:style w:type="character" w:customStyle="1" w:styleId="305">
    <w:name w:val="Ref. de comentario1"/>
    <w:qFormat/>
    <w:uiPriority w:val="0"/>
    <w:rPr>
      <w:sz w:val="16"/>
    </w:rPr>
  </w:style>
  <w:style w:type="character" w:customStyle="1" w:styleId="306">
    <w:name w:val="Car Car4"/>
    <w:uiPriority w:val="0"/>
    <w:rPr>
      <w:rFonts w:ascii="Arial" w:hAnsi="Arial"/>
      <w:spacing w:val="-2"/>
      <w:sz w:val="22"/>
      <w:lang w:val="es-EC"/>
    </w:rPr>
  </w:style>
  <w:style w:type="character" w:customStyle="1" w:styleId="307">
    <w:name w:val="Car Car6"/>
    <w:uiPriority w:val="0"/>
    <w:rPr>
      <w:rFonts w:ascii="Arial" w:hAnsi="Arial"/>
      <w:lang w:val="es-ES"/>
    </w:rPr>
  </w:style>
  <w:style w:type="character" w:customStyle="1" w:styleId="308">
    <w:name w:val="Car Car7"/>
    <w:uiPriority w:val="0"/>
    <w:rPr>
      <w:rFonts w:ascii="Arial" w:hAnsi="Arial"/>
      <w:color w:val="000000"/>
      <w:sz w:val="22"/>
      <w:lang w:val="es-ES"/>
    </w:rPr>
  </w:style>
  <w:style w:type="character" w:customStyle="1" w:styleId="309">
    <w:name w:val="Car Car5"/>
    <w:uiPriority w:val="0"/>
    <w:rPr>
      <w:rFonts w:ascii="Arial" w:hAnsi="Arial"/>
      <w:color w:val="0000FF"/>
      <w:sz w:val="22"/>
      <w:lang w:val="es-ES"/>
    </w:rPr>
  </w:style>
  <w:style w:type="character" w:customStyle="1" w:styleId="310">
    <w:name w:val="Car Car10"/>
    <w:uiPriority w:val="0"/>
    <w:rPr>
      <w:rFonts w:ascii="Arial" w:hAnsi="Arial"/>
      <w:spacing w:val="-2"/>
      <w:sz w:val="22"/>
      <w:u w:val="single"/>
      <w:lang w:val="es-EC"/>
    </w:rPr>
  </w:style>
  <w:style w:type="character" w:customStyle="1" w:styleId="311">
    <w:name w:val="Car Car3"/>
    <w:uiPriority w:val="0"/>
    <w:rPr>
      <w:rFonts w:ascii="Arial" w:hAnsi="Arial"/>
      <w:b/>
      <w:spacing w:val="-2"/>
      <w:sz w:val="22"/>
      <w:lang w:val="es-EC"/>
    </w:rPr>
  </w:style>
  <w:style w:type="character" w:customStyle="1" w:styleId="312">
    <w:name w:val="Car Car8"/>
    <w:uiPriority w:val="0"/>
    <w:rPr>
      <w:rFonts w:ascii="Arial" w:hAnsi="Arial"/>
      <w:color w:val="0000FF"/>
      <w:lang w:val="es-ES"/>
    </w:rPr>
  </w:style>
  <w:style w:type="character" w:customStyle="1" w:styleId="313">
    <w:name w:val="pie de página Car Car"/>
    <w:qFormat/>
    <w:uiPriority w:val="0"/>
    <w:rPr>
      <w:rFonts w:ascii="Courier New" w:hAnsi="Courier New"/>
      <w:sz w:val="24"/>
      <w:lang w:val="es-ES"/>
    </w:rPr>
  </w:style>
  <w:style w:type="character" w:customStyle="1" w:styleId="314">
    <w:name w:val="Car Car2"/>
    <w:uiPriority w:val="0"/>
    <w:rPr>
      <w:rFonts w:ascii="Courier New" w:hAnsi="Courier New"/>
      <w:sz w:val="24"/>
      <w:lang w:val="es-ES"/>
    </w:rPr>
  </w:style>
  <w:style w:type="character" w:customStyle="1" w:styleId="315">
    <w:name w:val="Car Car"/>
    <w:uiPriority w:val="0"/>
    <w:rPr>
      <w:rFonts w:ascii="Tahoma" w:hAnsi="Tahoma"/>
      <w:sz w:val="16"/>
      <w:lang w:val="es-EC"/>
    </w:rPr>
  </w:style>
  <w:style w:type="character" w:customStyle="1" w:styleId="316">
    <w:name w:val="Car Car11"/>
    <w:uiPriority w:val="0"/>
    <w:rPr>
      <w:rFonts w:ascii="Tahoma" w:hAnsi="Tahoma"/>
      <w:sz w:val="24"/>
      <w:lang w:val="es-EC"/>
    </w:rPr>
  </w:style>
  <w:style w:type="character" w:customStyle="1" w:styleId="317">
    <w:name w:val="Car Car9"/>
    <w:uiPriority w:val="0"/>
    <w:rPr>
      <w:lang w:val="es-ES"/>
    </w:rPr>
  </w:style>
  <w:style w:type="character" w:customStyle="1" w:styleId="318">
    <w:name w:val="Car Car1"/>
    <w:uiPriority w:val="0"/>
    <w:rPr>
      <w:sz w:val="24"/>
      <w:lang w:val="es-ES"/>
    </w:rPr>
  </w:style>
  <w:style w:type="character" w:customStyle="1" w:styleId="319">
    <w:name w:val="Carácter de numeración"/>
    <w:uiPriority w:val="0"/>
  </w:style>
  <w:style w:type="character" w:customStyle="1" w:styleId="320">
    <w:name w:val="Car Car22"/>
    <w:uiPriority w:val="0"/>
    <w:rPr>
      <w:rFonts w:ascii="Arial" w:hAnsi="Arial"/>
      <w:b/>
      <w:spacing w:val="-2"/>
      <w:lang w:val="es-EC"/>
    </w:rPr>
  </w:style>
  <w:style w:type="character" w:customStyle="1" w:styleId="321">
    <w:name w:val="Car Car21"/>
    <w:uiPriority w:val="0"/>
    <w:rPr>
      <w:rFonts w:ascii="Courier New" w:hAnsi="Courier New"/>
      <w:sz w:val="24"/>
    </w:rPr>
  </w:style>
  <w:style w:type="character" w:customStyle="1" w:styleId="322">
    <w:name w:val="Car Car20"/>
    <w:uiPriority w:val="0"/>
    <w:rPr>
      <w:rFonts w:ascii="Courier New" w:hAnsi="Courier New"/>
      <w:sz w:val="24"/>
    </w:rPr>
  </w:style>
  <w:style w:type="character" w:customStyle="1" w:styleId="323">
    <w:name w:val="Car Car19"/>
    <w:qFormat/>
    <w:uiPriority w:val="0"/>
    <w:rPr>
      <w:rFonts w:ascii="Times New Roman" w:hAnsi="Times New Roman"/>
      <w:sz w:val="24"/>
    </w:rPr>
  </w:style>
  <w:style w:type="character" w:customStyle="1" w:styleId="324">
    <w:name w:val="Car Car18"/>
    <w:uiPriority w:val="0"/>
    <w:rPr>
      <w:rFonts w:ascii="Times New Roman" w:hAnsi="Times New Roman"/>
      <w:b/>
      <w:sz w:val="20"/>
      <w:lang w:val="es-EC"/>
    </w:rPr>
  </w:style>
  <w:style w:type="character" w:customStyle="1" w:styleId="325">
    <w:name w:val="Car Car171"/>
    <w:uiPriority w:val="0"/>
    <w:rPr>
      <w:rFonts w:ascii="Arial" w:hAnsi="Arial"/>
      <w:b/>
      <w:spacing w:val="-3"/>
      <w:sz w:val="24"/>
      <w:lang w:val="es-ES"/>
    </w:rPr>
  </w:style>
  <w:style w:type="character" w:customStyle="1" w:styleId="326">
    <w:name w:val="Car Car161"/>
    <w:uiPriority w:val="0"/>
    <w:rPr>
      <w:rFonts w:ascii="Arial" w:hAnsi="Arial"/>
      <w:b/>
      <w:spacing w:val="-3"/>
      <w:sz w:val="24"/>
      <w:lang w:val="es-EC"/>
    </w:rPr>
  </w:style>
  <w:style w:type="character" w:customStyle="1" w:styleId="327">
    <w:name w:val="Car Car151"/>
    <w:uiPriority w:val="0"/>
    <w:rPr>
      <w:rFonts w:ascii="Arial" w:hAnsi="Arial"/>
      <w:b/>
      <w:sz w:val="28"/>
      <w:lang w:val="es-ES"/>
    </w:rPr>
  </w:style>
  <w:style w:type="character" w:customStyle="1" w:styleId="328">
    <w:name w:val="Car Car141"/>
    <w:uiPriority w:val="0"/>
    <w:rPr>
      <w:rFonts w:ascii="Flat Brush" w:hAnsi="Flat Brush"/>
      <w:b/>
      <w:sz w:val="32"/>
      <w:lang w:val="es-ES"/>
    </w:rPr>
  </w:style>
  <w:style w:type="character" w:customStyle="1" w:styleId="329">
    <w:name w:val="Car Car131"/>
    <w:uiPriority w:val="0"/>
    <w:rPr>
      <w:rFonts w:ascii="Arial" w:hAnsi="Arial"/>
      <w:sz w:val="32"/>
      <w:lang w:val="es-ES"/>
    </w:rPr>
  </w:style>
  <w:style w:type="character" w:customStyle="1" w:styleId="330">
    <w:name w:val="Car Car121"/>
    <w:qFormat/>
    <w:uiPriority w:val="0"/>
    <w:rPr>
      <w:rFonts w:ascii="Dolphin" w:hAnsi="Dolphin"/>
      <w:b/>
      <w:sz w:val="36"/>
      <w:lang w:val="es-ES"/>
    </w:rPr>
  </w:style>
  <w:style w:type="character" w:customStyle="1" w:styleId="331">
    <w:name w:val="Car Car41"/>
    <w:qFormat/>
    <w:uiPriority w:val="0"/>
    <w:rPr>
      <w:rFonts w:ascii="Arial" w:hAnsi="Arial"/>
      <w:spacing w:val="-2"/>
      <w:sz w:val="22"/>
      <w:lang w:val="es-EC"/>
    </w:rPr>
  </w:style>
  <w:style w:type="character" w:customStyle="1" w:styleId="332">
    <w:name w:val="Car Car61"/>
    <w:qFormat/>
    <w:uiPriority w:val="0"/>
    <w:rPr>
      <w:rFonts w:ascii="Arial" w:hAnsi="Arial"/>
      <w:lang w:val="es-ES"/>
    </w:rPr>
  </w:style>
  <w:style w:type="character" w:customStyle="1" w:styleId="333">
    <w:name w:val="Car Car71"/>
    <w:qFormat/>
    <w:uiPriority w:val="0"/>
    <w:rPr>
      <w:rFonts w:ascii="Arial" w:hAnsi="Arial"/>
      <w:color w:val="000000"/>
      <w:sz w:val="22"/>
      <w:lang w:val="es-ES"/>
    </w:rPr>
  </w:style>
  <w:style w:type="character" w:customStyle="1" w:styleId="334">
    <w:name w:val="Car Car51"/>
    <w:qFormat/>
    <w:uiPriority w:val="0"/>
    <w:rPr>
      <w:rFonts w:ascii="Arial" w:hAnsi="Arial"/>
      <w:color w:val="0000FF"/>
      <w:sz w:val="22"/>
      <w:lang w:val="es-ES"/>
    </w:rPr>
  </w:style>
  <w:style w:type="character" w:customStyle="1" w:styleId="335">
    <w:name w:val="Car Car101"/>
    <w:qFormat/>
    <w:uiPriority w:val="0"/>
    <w:rPr>
      <w:rFonts w:ascii="Arial" w:hAnsi="Arial"/>
      <w:spacing w:val="-2"/>
      <w:sz w:val="22"/>
      <w:u w:val="single"/>
      <w:lang w:val="es-EC"/>
    </w:rPr>
  </w:style>
  <w:style w:type="character" w:customStyle="1" w:styleId="336">
    <w:name w:val="Car Car38"/>
    <w:qFormat/>
    <w:uiPriority w:val="0"/>
    <w:rPr>
      <w:rFonts w:ascii="Arial" w:hAnsi="Arial"/>
      <w:b/>
      <w:spacing w:val="-2"/>
      <w:sz w:val="22"/>
      <w:lang w:val="es-EC"/>
    </w:rPr>
  </w:style>
  <w:style w:type="character" w:customStyle="1" w:styleId="337">
    <w:name w:val="Car Car81"/>
    <w:qFormat/>
    <w:uiPriority w:val="0"/>
    <w:rPr>
      <w:rFonts w:ascii="Arial" w:hAnsi="Arial"/>
      <w:color w:val="0000FF"/>
      <w:lang w:val="es-ES"/>
    </w:rPr>
  </w:style>
  <w:style w:type="character" w:customStyle="1" w:styleId="338">
    <w:name w:val="Car Car210"/>
    <w:qFormat/>
    <w:uiPriority w:val="0"/>
    <w:rPr>
      <w:rFonts w:ascii="Courier New" w:hAnsi="Courier New"/>
      <w:sz w:val="24"/>
      <w:lang w:val="es-ES"/>
    </w:rPr>
  </w:style>
  <w:style w:type="character" w:customStyle="1" w:styleId="339">
    <w:name w:val="Car Car37"/>
    <w:qFormat/>
    <w:uiPriority w:val="0"/>
    <w:rPr>
      <w:rFonts w:ascii="Tahoma" w:hAnsi="Tahoma"/>
      <w:sz w:val="16"/>
      <w:lang w:val="es-EC"/>
    </w:rPr>
  </w:style>
  <w:style w:type="character" w:customStyle="1" w:styleId="340">
    <w:name w:val="Car Car111"/>
    <w:qFormat/>
    <w:uiPriority w:val="0"/>
    <w:rPr>
      <w:rFonts w:ascii="Tahoma" w:hAnsi="Tahoma"/>
      <w:sz w:val="24"/>
      <w:lang w:val="es-EC"/>
    </w:rPr>
  </w:style>
  <w:style w:type="character" w:customStyle="1" w:styleId="341">
    <w:name w:val="Car Car91"/>
    <w:qFormat/>
    <w:uiPriority w:val="0"/>
    <w:rPr>
      <w:lang w:val="es-ES"/>
    </w:rPr>
  </w:style>
  <w:style w:type="character" w:customStyle="1" w:styleId="342">
    <w:name w:val="Car Car110"/>
    <w:qFormat/>
    <w:uiPriority w:val="0"/>
    <w:rPr>
      <w:sz w:val="24"/>
      <w:lang w:val="es-ES"/>
    </w:rPr>
  </w:style>
  <w:style w:type="character" w:customStyle="1" w:styleId="343">
    <w:name w:val="Viñetas"/>
    <w:qFormat/>
    <w:uiPriority w:val="0"/>
    <w:rPr>
      <w:rFonts w:ascii="OpenSymbol" w:hAnsi="OpenSymbol"/>
    </w:rPr>
  </w:style>
  <w:style w:type="character" w:customStyle="1" w:styleId="344">
    <w:name w:val="Símbolo de nota final"/>
    <w:qFormat/>
    <w:uiPriority w:val="0"/>
    <w:rPr>
      <w:vertAlign w:val="superscript"/>
    </w:rPr>
  </w:style>
  <w:style w:type="character" w:customStyle="1" w:styleId="345">
    <w:name w:val="WW-Símbolo de nota final"/>
    <w:qFormat/>
    <w:uiPriority w:val="0"/>
  </w:style>
  <w:style w:type="character" w:customStyle="1" w:styleId="346">
    <w:name w:val="Ref. de nota al final1"/>
    <w:qFormat/>
    <w:uiPriority w:val="0"/>
    <w:rPr>
      <w:vertAlign w:val="superscript"/>
    </w:rPr>
  </w:style>
  <w:style w:type="character" w:customStyle="1" w:styleId="347">
    <w:name w:val="Ref. de nota al pie2"/>
    <w:qFormat/>
    <w:uiPriority w:val="0"/>
    <w:rPr>
      <w:vertAlign w:val="superscript"/>
    </w:rPr>
  </w:style>
  <w:style w:type="character" w:customStyle="1" w:styleId="348">
    <w:name w:val="Ref. de nota al final2"/>
    <w:qFormat/>
    <w:uiPriority w:val="0"/>
    <w:rPr>
      <w:vertAlign w:val="superscript"/>
    </w:rPr>
  </w:style>
  <w:style w:type="character" w:customStyle="1" w:styleId="349">
    <w:name w:val="Ref. de nota al pie3"/>
    <w:qFormat/>
    <w:uiPriority w:val="0"/>
    <w:rPr>
      <w:vertAlign w:val="superscript"/>
    </w:rPr>
  </w:style>
  <w:style w:type="character" w:customStyle="1" w:styleId="350">
    <w:name w:val="Ref. de nota al final3"/>
    <w:qFormat/>
    <w:uiPriority w:val="0"/>
    <w:rPr>
      <w:vertAlign w:val="superscript"/>
    </w:rPr>
  </w:style>
  <w:style w:type="character" w:customStyle="1" w:styleId="351">
    <w:name w:val="Ref. de nota al pie4"/>
    <w:qFormat/>
    <w:uiPriority w:val="0"/>
    <w:rPr>
      <w:vertAlign w:val="superscript"/>
    </w:rPr>
  </w:style>
  <w:style w:type="character" w:customStyle="1" w:styleId="352">
    <w:name w:val="Ref. de nota al final4"/>
    <w:qFormat/>
    <w:uiPriority w:val="0"/>
    <w:rPr>
      <w:vertAlign w:val="superscript"/>
    </w:rPr>
  </w:style>
  <w:style w:type="character" w:customStyle="1" w:styleId="353">
    <w:name w:val="Caracteres de nota final"/>
    <w:qFormat/>
    <w:uiPriority w:val="0"/>
    <w:rPr>
      <w:vertAlign w:val="superscript"/>
    </w:rPr>
  </w:style>
  <w:style w:type="character" w:customStyle="1" w:styleId="354">
    <w:name w:val="Símbolos de numeración"/>
    <w:qFormat/>
    <w:uiPriority w:val="0"/>
  </w:style>
  <w:style w:type="paragraph" w:customStyle="1" w:styleId="355">
    <w:name w:val="Encabezado6"/>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56">
    <w:name w:val="Etiqueta"/>
    <w:basedOn w:val="1"/>
    <w:qFormat/>
    <w:uiPriority w:val="0"/>
    <w:pPr>
      <w:suppressLineNumbers/>
      <w:suppressAutoHyphens/>
      <w:spacing w:before="120" w:after="120" w:line="240" w:lineRule="auto"/>
    </w:pPr>
    <w:rPr>
      <w:rFonts w:ascii="Times New Roman" w:hAnsi="Times New Roman" w:eastAsia="Times New Roman" w:cs="Times New Roman"/>
      <w:i/>
      <w:sz w:val="24"/>
      <w:szCs w:val="20"/>
      <w:lang w:eastAsia="hi-IN" w:bidi="hi-IN"/>
    </w:rPr>
  </w:style>
  <w:style w:type="paragraph" w:customStyle="1" w:styleId="357">
    <w:name w:val="Índice"/>
    <w:basedOn w:val="1"/>
    <w:qFormat/>
    <w:uiPriority w:val="0"/>
    <w:pPr>
      <w:suppressLineNumbers/>
      <w:suppressAutoHyphens/>
      <w:spacing w:after="0" w:line="240" w:lineRule="auto"/>
    </w:pPr>
    <w:rPr>
      <w:rFonts w:ascii="Times New Roman" w:hAnsi="Times New Roman" w:eastAsia="Times New Roman" w:cs="Times New Roman"/>
      <w:sz w:val="24"/>
      <w:szCs w:val="20"/>
      <w:lang w:eastAsia="hi-IN" w:bidi="hi-IN"/>
    </w:rPr>
  </w:style>
  <w:style w:type="paragraph" w:customStyle="1" w:styleId="358">
    <w:name w:val="Encabezado5"/>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59">
    <w:name w:val="Encabezado4"/>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0">
    <w:name w:val="Encabezado3"/>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1">
    <w:name w:val="Encabezado2"/>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2">
    <w:name w:val="Texto comentario2"/>
    <w:basedOn w:val="1"/>
    <w:qFormat/>
    <w:uiPriority w:val="0"/>
    <w:pPr>
      <w:suppressAutoHyphens/>
      <w:spacing w:after="0" w:line="240" w:lineRule="auto"/>
    </w:pPr>
    <w:rPr>
      <w:rFonts w:ascii="Times New Roman" w:hAnsi="Times New Roman" w:eastAsia="Times New Roman" w:cs="Times New Roman"/>
      <w:sz w:val="20"/>
      <w:szCs w:val="20"/>
      <w:lang w:eastAsia="hi-IN" w:bidi="hi-IN"/>
    </w:rPr>
  </w:style>
  <w:style w:type="paragraph" w:customStyle="1" w:styleId="363">
    <w:name w:val="Texto de nota al final"/>
    <w:basedOn w:val="1"/>
    <w:qFormat/>
    <w:uiPriority w:val="0"/>
    <w:pPr>
      <w:widowControl w:val="0"/>
      <w:suppressAutoHyphens/>
      <w:spacing w:after="0" w:line="240" w:lineRule="auto"/>
    </w:pPr>
    <w:rPr>
      <w:rFonts w:ascii="Courier New" w:hAnsi="Courier New" w:eastAsia="Times New Roman" w:cs="Times New Roman"/>
      <w:sz w:val="24"/>
      <w:szCs w:val="20"/>
      <w:lang w:val="es-ES" w:eastAsia="hi-IN" w:bidi="hi-IN"/>
    </w:rPr>
  </w:style>
  <w:style w:type="paragraph" w:customStyle="1" w:styleId="364">
    <w:name w:val="Encabezado1"/>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5">
    <w:name w:val="Lista con viñetas1"/>
    <w:basedOn w:val="1"/>
    <w:qFormat/>
    <w:uiPriority w:val="0"/>
    <w:pPr>
      <w:widowControl w:val="0"/>
      <w:suppressAutoHyphens/>
      <w:spacing w:after="0" w:line="240" w:lineRule="auto"/>
      <w:ind w:left="926" w:hanging="360"/>
    </w:pPr>
    <w:rPr>
      <w:rFonts w:ascii="MS Mincho" w:hAnsi="MS Mincho" w:eastAsia="Times New Roman" w:cs="Times New Roman"/>
      <w:sz w:val="20"/>
      <w:szCs w:val="20"/>
      <w:lang w:val="en-US" w:eastAsia="hi-IN" w:bidi="hi-IN"/>
    </w:rPr>
  </w:style>
  <w:style w:type="paragraph" w:customStyle="1" w:styleId="366">
    <w:name w:val="Lista con viñetas 31"/>
    <w:basedOn w:val="1"/>
    <w:qFormat/>
    <w:uiPriority w:val="0"/>
    <w:pPr>
      <w:suppressAutoHyphens/>
      <w:spacing w:after="0" w:line="240" w:lineRule="auto"/>
      <w:ind w:left="1080"/>
    </w:pPr>
    <w:rPr>
      <w:rFonts w:ascii="Times New Roman" w:hAnsi="Times New Roman" w:eastAsia="Times New Roman" w:cs="Times New Roman"/>
      <w:sz w:val="24"/>
      <w:szCs w:val="20"/>
      <w:lang w:eastAsia="hi-IN" w:bidi="hi-IN"/>
    </w:rPr>
  </w:style>
  <w:style w:type="paragraph" w:customStyle="1" w:styleId="367">
    <w:name w:val="Lista con viñetas 41"/>
    <w:basedOn w:val="1"/>
    <w:qFormat/>
    <w:uiPriority w:val="0"/>
    <w:pPr>
      <w:suppressAutoHyphens/>
      <w:spacing w:after="0" w:line="240" w:lineRule="auto"/>
      <w:ind w:left="1440"/>
    </w:pPr>
    <w:rPr>
      <w:rFonts w:ascii="Times New Roman" w:hAnsi="Times New Roman" w:eastAsia="Times New Roman" w:cs="Times New Roman"/>
      <w:sz w:val="24"/>
      <w:szCs w:val="20"/>
      <w:lang w:eastAsia="hi-IN" w:bidi="hi-IN"/>
    </w:rPr>
  </w:style>
  <w:style w:type="paragraph" w:customStyle="1" w:styleId="368">
    <w:name w:val="Texto independiente 31"/>
    <w:basedOn w:val="1"/>
    <w:qFormat/>
    <w:uiPriority w:val="0"/>
    <w:pPr>
      <w:widowControl w:val="0"/>
      <w:suppressAutoHyphens/>
      <w:spacing w:after="0" w:line="240" w:lineRule="auto"/>
      <w:jc w:val="both"/>
    </w:pPr>
    <w:rPr>
      <w:rFonts w:ascii="Arial" w:hAnsi="Arial" w:eastAsia="Times New Roman" w:cs="Times New Roman"/>
      <w:spacing w:val="-2"/>
      <w:szCs w:val="20"/>
      <w:lang w:eastAsia="hi-IN" w:bidi="hi-IN"/>
    </w:rPr>
  </w:style>
  <w:style w:type="paragraph" w:customStyle="1" w:styleId="369">
    <w:name w:val="Texto comentario1"/>
    <w:basedOn w:val="1"/>
    <w:qFormat/>
    <w:uiPriority w:val="0"/>
    <w:pPr>
      <w:widowControl w:val="0"/>
      <w:suppressAutoHyphens/>
      <w:spacing w:after="0" w:line="240" w:lineRule="auto"/>
    </w:pPr>
    <w:rPr>
      <w:rFonts w:ascii="MS Mincho" w:hAnsi="MS Mincho" w:eastAsia="Times New Roman" w:cs="Times New Roman"/>
      <w:sz w:val="20"/>
      <w:szCs w:val="20"/>
      <w:lang w:eastAsia="hi-IN" w:bidi="hi-IN"/>
    </w:rPr>
  </w:style>
  <w:style w:type="paragraph" w:customStyle="1" w:styleId="370">
    <w:name w:val="Texto independiente 21"/>
    <w:basedOn w:val="1"/>
    <w:qFormat/>
    <w:uiPriority w:val="0"/>
    <w:pPr>
      <w:widowControl w:val="0"/>
      <w:suppressAutoHyphens/>
      <w:spacing w:after="0" w:line="240" w:lineRule="auto"/>
      <w:jc w:val="both"/>
    </w:pPr>
    <w:rPr>
      <w:rFonts w:ascii="Arial" w:hAnsi="Arial" w:eastAsia="Times New Roman" w:cs="Times New Roman"/>
      <w:color w:val="000000"/>
      <w:szCs w:val="20"/>
      <w:lang w:val="es-ES" w:eastAsia="hi-IN" w:bidi="hi-IN"/>
    </w:rPr>
  </w:style>
  <w:style w:type="paragraph" w:customStyle="1" w:styleId="371">
    <w:name w:val="Sangría 2 de t. independiente1"/>
    <w:basedOn w:val="1"/>
    <w:qFormat/>
    <w:uiPriority w:val="0"/>
    <w:pPr>
      <w:widowControl w:val="0"/>
      <w:suppressAutoHyphens/>
      <w:spacing w:after="0" w:line="240" w:lineRule="auto"/>
      <w:ind w:left="1418"/>
      <w:jc w:val="both"/>
    </w:pPr>
    <w:rPr>
      <w:rFonts w:ascii="Arial" w:hAnsi="Arial" w:eastAsia="Times New Roman" w:cs="Times New Roman"/>
      <w:color w:val="0000FF"/>
      <w:szCs w:val="20"/>
      <w:lang w:val="es-ES" w:eastAsia="hi-IN" w:bidi="hi-IN"/>
    </w:rPr>
  </w:style>
  <w:style w:type="character" w:customStyle="1" w:styleId="372">
    <w:name w:val="Subtítulo Car"/>
    <w:basedOn w:val="38"/>
    <w:link w:val="32"/>
    <w:qFormat/>
    <w:uiPriority w:val="0"/>
    <w:rPr>
      <w:rFonts w:ascii="Arial" w:hAnsi="Arial" w:eastAsia="Times New Roman" w:cs="Times New Roman"/>
      <w:b/>
      <w:spacing w:val="-2"/>
      <w:sz w:val="20"/>
      <w:szCs w:val="20"/>
      <w:lang w:eastAsia="hi-IN" w:bidi="hi-IN"/>
    </w:rPr>
  </w:style>
  <w:style w:type="paragraph" w:customStyle="1" w:styleId="373">
    <w:name w:val="xl32"/>
    <w:basedOn w:val="1"/>
    <w:qFormat/>
    <w:uiPriority w:val="0"/>
    <w:pPr>
      <w:suppressAutoHyphens/>
      <w:spacing w:before="280" w:after="280" w:line="240" w:lineRule="auto"/>
    </w:pPr>
    <w:rPr>
      <w:rFonts w:ascii="Arial" w:hAnsi="Arial" w:eastAsia="Times New Roman" w:cs="Times New Roman"/>
      <w:sz w:val="18"/>
      <w:szCs w:val="20"/>
      <w:lang w:val="es-ES" w:eastAsia="hi-IN" w:bidi="hi-IN"/>
    </w:rPr>
  </w:style>
  <w:style w:type="paragraph" w:customStyle="1" w:styleId="374">
    <w:name w:val="font5"/>
    <w:basedOn w:val="1"/>
    <w:qFormat/>
    <w:uiPriority w:val="0"/>
    <w:pPr>
      <w:suppressAutoHyphens/>
      <w:spacing w:before="280" w:after="280" w:line="240" w:lineRule="auto"/>
    </w:pPr>
    <w:rPr>
      <w:rFonts w:ascii="Arial" w:hAnsi="Arial" w:eastAsia="Times New Roman" w:cs="Times New Roman"/>
      <w:sz w:val="14"/>
      <w:szCs w:val="20"/>
      <w:lang w:val="es-ES" w:eastAsia="hi-IN" w:bidi="hi-IN"/>
    </w:rPr>
  </w:style>
  <w:style w:type="paragraph" w:customStyle="1" w:styleId="375">
    <w:name w:val="xl69"/>
    <w:basedOn w:val="1"/>
    <w:qFormat/>
    <w:uiPriority w:val="0"/>
    <w:pPr>
      <w:suppressAutoHyphens/>
      <w:spacing w:before="280" w:after="280" w:line="240" w:lineRule="auto"/>
    </w:pPr>
    <w:rPr>
      <w:rFonts w:ascii="Arial" w:hAnsi="Arial" w:eastAsia="Times New Roman" w:cs="Times New Roman"/>
      <w:b/>
      <w:sz w:val="18"/>
      <w:szCs w:val="20"/>
      <w:lang w:val="es-ES" w:eastAsia="hi-IN" w:bidi="hi-IN"/>
    </w:rPr>
  </w:style>
  <w:style w:type="paragraph" w:customStyle="1" w:styleId="376">
    <w:name w:val="Sangría 3 de t. independiente1"/>
    <w:basedOn w:val="1"/>
    <w:qFormat/>
    <w:uiPriority w:val="0"/>
    <w:pPr>
      <w:widowControl w:val="0"/>
      <w:suppressAutoHyphens/>
      <w:spacing w:after="0" w:line="240" w:lineRule="auto"/>
      <w:ind w:left="284" w:hanging="284"/>
      <w:jc w:val="both"/>
    </w:pPr>
    <w:rPr>
      <w:rFonts w:ascii="Arial" w:hAnsi="Arial" w:eastAsia="Times New Roman" w:cs="Times New Roman"/>
      <w:color w:val="0000FF"/>
      <w:sz w:val="20"/>
      <w:szCs w:val="20"/>
      <w:lang w:val="es-ES" w:eastAsia="hi-IN" w:bidi="hi-IN"/>
    </w:rPr>
  </w:style>
  <w:style w:type="paragraph" w:customStyle="1" w:styleId="377">
    <w:name w:val="xl33"/>
    <w:basedOn w:val="1"/>
    <w:qFormat/>
    <w:uiPriority w:val="0"/>
    <w:pPr>
      <w:suppressAutoHyphens/>
      <w:spacing w:before="280" w:after="280" w:line="240" w:lineRule="auto"/>
    </w:pPr>
    <w:rPr>
      <w:rFonts w:ascii="Arial" w:hAnsi="Arial" w:eastAsia="Times New Roman" w:cs="Times New Roman"/>
      <w:b/>
      <w:color w:val="000000"/>
      <w:sz w:val="18"/>
      <w:szCs w:val="20"/>
      <w:lang w:val="es-ES" w:eastAsia="hi-IN" w:bidi="hi-IN"/>
    </w:rPr>
  </w:style>
  <w:style w:type="paragraph" w:customStyle="1" w:styleId="378">
    <w:name w:val="xl107"/>
    <w:basedOn w:val="1"/>
    <w:qFormat/>
    <w:uiPriority w:val="0"/>
    <w:pPr>
      <w:suppressAutoHyphens/>
      <w:spacing w:before="280" w:after="280" w:line="240" w:lineRule="auto"/>
    </w:pPr>
    <w:rPr>
      <w:rFonts w:ascii="Bookman Old Style" w:hAnsi="Bookman Old Style" w:eastAsia="Times New Roman" w:cs="Times New Roman"/>
      <w:b/>
      <w:sz w:val="16"/>
      <w:szCs w:val="20"/>
      <w:lang w:val="es-ES" w:eastAsia="hi-IN" w:bidi="hi-IN"/>
    </w:rPr>
  </w:style>
  <w:style w:type="paragraph" w:customStyle="1" w:styleId="379">
    <w:name w:val="xl59"/>
    <w:basedOn w:val="1"/>
    <w:qFormat/>
    <w:uiPriority w:val="0"/>
    <w:pPr>
      <w:suppressAutoHyphens/>
      <w:spacing w:before="280" w:after="280" w:line="240" w:lineRule="auto"/>
      <w:jc w:val="center"/>
    </w:pPr>
    <w:rPr>
      <w:rFonts w:ascii="Arial" w:hAnsi="Arial" w:eastAsia="Times New Roman" w:cs="Times New Roman"/>
      <w:sz w:val="18"/>
      <w:szCs w:val="20"/>
      <w:lang w:val="es-ES" w:eastAsia="hi-IN" w:bidi="hi-IN"/>
    </w:rPr>
  </w:style>
  <w:style w:type="character" w:customStyle="1" w:styleId="380">
    <w:name w:val="Puesto Car"/>
    <w:basedOn w:val="38"/>
    <w:link w:val="37"/>
    <w:qFormat/>
    <w:uiPriority w:val="0"/>
    <w:rPr>
      <w:rFonts w:ascii="Courier New" w:hAnsi="Courier New" w:eastAsia="Times New Roman" w:cs="Times New Roman"/>
      <w:sz w:val="24"/>
      <w:szCs w:val="20"/>
      <w:lang w:val="es-ES" w:eastAsia="hi-IN" w:bidi="hi-IN"/>
    </w:rPr>
  </w:style>
  <w:style w:type="paragraph" w:customStyle="1" w:styleId="381">
    <w:name w:val="Mapa del documento1"/>
    <w:basedOn w:val="1"/>
    <w:qFormat/>
    <w:uiPriority w:val="0"/>
    <w:pPr>
      <w:shd w:val="clear" w:color="auto" w:fill="000080"/>
      <w:suppressAutoHyphens/>
      <w:spacing w:after="0" w:line="240" w:lineRule="auto"/>
    </w:pPr>
    <w:rPr>
      <w:rFonts w:ascii="Tahoma" w:hAnsi="Tahoma" w:eastAsia="Times New Roman" w:cs="Times New Roman"/>
      <w:sz w:val="24"/>
      <w:szCs w:val="20"/>
      <w:lang w:eastAsia="hi-IN" w:bidi="hi-IN"/>
    </w:rPr>
  </w:style>
  <w:style w:type="paragraph" w:customStyle="1" w:styleId="382">
    <w:name w:val="Texto independiente 22"/>
    <w:basedOn w:val="1"/>
    <w:qFormat/>
    <w:uiPriority w:val="0"/>
    <w:pPr>
      <w:widowControl w:val="0"/>
      <w:suppressAutoHyphens/>
      <w:spacing w:after="0" w:line="240" w:lineRule="auto"/>
      <w:jc w:val="both"/>
    </w:pPr>
    <w:rPr>
      <w:rFonts w:ascii="Arial" w:hAnsi="Arial" w:eastAsia="Times New Roman" w:cs="Times New Roman"/>
      <w:sz w:val="24"/>
      <w:szCs w:val="20"/>
      <w:lang w:val="es-ES" w:eastAsia="hi-IN" w:bidi="hi-IN"/>
    </w:rPr>
  </w:style>
  <w:style w:type="character" w:customStyle="1" w:styleId="383">
    <w:name w:val="Firma Car"/>
    <w:basedOn w:val="38"/>
    <w:link w:val="25"/>
    <w:qFormat/>
    <w:uiPriority w:val="0"/>
    <w:rPr>
      <w:rFonts w:ascii="Times New Roman" w:hAnsi="Times New Roman" w:eastAsia="Times New Roman" w:cs="Times New Roman"/>
      <w:sz w:val="24"/>
      <w:szCs w:val="20"/>
      <w:lang w:val="es-ES" w:eastAsia="hi-IN" w:bidi="hi-IN"/>
    </w:rPr>
  </w:style>
  <w:style w:type="paragraph" w:customStyle="1" w:styleId="384">
    <w:name w:val="Encabezado de la tabla"/>
    <w:basedOn w:val="66"/>
    <w:qFormat/>
    <w:uiPriority w:val="0"/>
    <w:pPr>
      <w:jc w:val="center"/>
    </w:pPr>
    <w:rPr>
      <w:b/>
    </w:rPr>
  </w:style>
  <w:style w:type="paragraph" w:customStyle="1" w:styleId="385">
    <w:name w:val="Contenido del marco"/>
    <w:basedOn w:val="33"/>
    <w:qFormat/>
    <w:uiPriority w:val="0"/>
  </w:style>
  <w:style w:type="paragraph" w:customStyle="1" w:styleId="386">
    <w:name w:val="Texto independiente 33"/>
    <w:basedOn w:val="1"/>
    <w:qFormat/>
    <w:uiPriority w:val="0"/>
    <w:pPr>
      <w:widowControl w:val="0"/>
      <w:suppressAutoHyphens/>
      <w:spacing w:after="120" w:line="240" w:lineRule="auto"/>
    </w:pPr>
    <w:rPr>
      <w:rFonts w:ascii="Courier New" w:hAnsi="Courier New" w:eastAsia="Times New Roman" w:cs="Times New Roman"/>
      <w:sz w:val="16"/>
      <w:szCs w:val="20"/>
      <w:lang w:val="es-ES" w:eastAsia="hi-IN" w:bidi="hi-IN"/>
    </w:rPr>
  </w:style>
  <w:style w:type="paragraph" w:customStyle="1" w:styleId="387">
    <w:name w:val="Texto independiente 23"/>
    <w:basedOn w:val="1"/>
    <w:qFormat/>
    <w:uiPriority w:val="0"/>
    <w:pPr>
      <w:widowControl w:val="0"/>
      <w:suppressAutoHyphens/>
      <w:spacing w:after="0" w:line="240" w:lineRule="auto"/>
      <w:jc w:val="both"/>
    </w:pPr>
    <w:rPr>
      <w:rFonts w:ascii="Arial" w:hAnsi="Arial" w:eastAsia="Times New Roman" w:cs="Times New Roman"/>
      <w:sz w:val="24"/>
      <w:szCs w:val="20"/>
      <w:lang w:val="es-ES" w:eastAsia="hi-IN" w:bidi="hi-IN"/>
    </w:rPr>
  </w:style>
  <w:style w:type="character" w:customStyle="1" w:styleId="388">
    <w:name w:val="nrmar"/>
    <w:qFormat/>
    <w:uiPriority w:val="0"/>
  </w:style>
  <w:style w:type="paragraph" w:customStyle="1" w:styleId="389">
    <w:name w:val="No Spacing"/>
    <w:qFormat/>
    <w:uiPriority w:val="1"/>
    <w:pPr>
      <w:suppressAutoHyphens/>
      <w:spacing w:after="0" w:line="240" w:lineRule="auto"/>
    </w:pPr>
    <w:rPr>
      <w:rFonts w:ascii="Times New Roman" w:hAnsi="Times New Roman" w:eastAsia="Times New Roman" w:cs="Mangal"/>
      <w:sz w:val="24"/>
      <w:szCs w:val="20"/>
      <w:lang w:val="es-EC" w:eastAsia="hi-IN" w:bidi="hi-IN"/>
    </w:rPr>
  </w:style>
  <w:style w:type="character" w:customStyle="1" w:styleId="390">
    <w:name w:val="Texto nota al final Car"/>
    <w:link w:val="13"/>
    <w:semiHidden/>
    <w:qFormat/>
    <w:locked/>
    <w:uiPriority w:val="0"/>
    <w:rPr>
      <w:rFonts w:ascii="Courier New" w:hAnsi="Courier New" w:cs="Courier New"/>
      <w:snapToGrid w:val="0"/>
      <w:sz w:val="24"/>
    </w:rPr>
  </w:style>
  <w:style w:type="character" w:customStyle="1" w:styleId="391">
    <w:name w:val="Texto nota al final Car1"/>
    <w:basedOn w:val="38"/>
    <w:semiHidden/>
    <w:qFormat/>
    <w:uiPriority w:val="99"/>
    <w:rPr>
      <w:sz w:val="20"/>
      <w:szCs w:val="20"/>
    </w:rPr>
  </w:style>
  <w:style w:type="paragraph" w:customStyle="1" w:styleId="392">
    <w:name w:val="xl64"/>
    <w:basedOn w:val="1"/>
    <w:qFormat/>
    <w:uiPriority w:val="0"/>
    <w:pPr>
      <w:spacing w:before="100" w:beforeAutospacing="1" w:after="100" w:afterAutospacing="1" w:line="240" w:lineRule="auto"/>
    </w:pPr>
    <w:rPr>
      <w:rFonts w:ascii="Calibri" w:hAnsi="Calibri" w:eastAsia="Times New Roman" w:cs="Times New Roman"/>
      <w:sz w:val="24"/>
      <w:szCs w:val="24"/>
    </w:rPr>
  </w:style>
  <w:style w:type="paragraph" w:customStyle="1" w:styleId="393">
    <w:name w:val="xl65"/>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Calibri" w:hAnsi="Calibri" w:eastAsia="Times New Roman" w:cs="Times New Roman"/>
      <w:b/>
      <w:bCs/>
      <w:color w:val="000000"/>
      <w:sz w:val="24"/>
      <w:szCs w:val="24"/>
    </w:rPr>
  </w:style>
  <w:style w:type="paragraph" w:customStyle="1" w:styleId="394">
    <w:name w:val="xl66"/>
    <w:basedOn w:val="1"/>
    <w:qFormat/>
    <w:uiPriority w:val="0"/>
    <w:pPr>
      <w:pBdr>
        <w:top w:val="single" w:color="auto" w:sz="8" w:space="0"/>
        <w:bottom w:val="single" w:color="auto" w:sz="8" w:space="0"/>
      </w:pBdr>
      <w:spacing w:before="100" w:beforeAutospacing="1" w:after="100" w:afterAutospacing="1" w:line="240" w:lineRule="auto"/>
      <w:jc w:val="center"/>
      <w:textAlignment w:val="center"/>
    </w:pPr>
    <w:rPr>
      <w:rFonts w:ascii="Calibri" w:hAnsi="Calibri" w:eastAsia="Times New Roman" w:cs="Times New Roman"/>
      <w:b/>
      <w:bCs/>
      <w:color w:val="000000"/>
      <w:sz w:val="24"/>
      <w:szCs w:val="24"/>
    </w:rPr>
  </w:style>
  <w:style w:type="paragraph" w:customStyle="1" w:styleId="395">
    <w:name w:val="xl67"/>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Calibri" w:hAnsi="Calibri" w:eastAsia="Times New Roman" w:cs="Times New Roman"/>
      <w:b/>
      <w:bCs/>
      <w:color w:val="000000"/>
      <w:sz w:val="24"/>
      <w:szCs w:val="24"/>
    </w:rPr>
  </w:style>
  <w:style w:type="paragraph" w:customStyle="1" w:styleId="396">
    <w:name w:val="xl68"/>
    <w:basedOn w:val="1"/>
    <w:qFormat/>
    <w:uiPriority w:val="0"/>
    <w:pPr>
      <w:spacing w:before="100" w:beforeAutospacing="1" w:after="100" w:afterAutospacing="1" w:line="240" w:lineRule="auto"/>
      <w:textAlignment w:val="center"/>
    </w:pPr>
    <w:rPr>
      <w:rFonts w:ascii="Calibri" w:hAnsi="Calibri" w:eastAsia="Times New Roman" w:cs="Times New Roman"/>
      <w:sz w:val="24"/>
      <w:szCs w:val="24"/>
    </w:rPr>
  </w:style>
  <w:style w:type="paragraph" w:customStyle="1" w:styleId="397">
    <w:name w:val="xl70"/>
    <w:basedOn w:val="1"/>
    <w:qFormat/>
    <w:uiPriority w:val="0"/>
    <w:pPr>
      <w:pBdr>
        <w:top w:val="single" w:color="auto" w:sz="4" w:space="0"/>
        <w:left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398">
    <w:name w:val="xl71"/>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399">
    <w:name w:val="xl72"/>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00">
    <w:name w:val="xl73"/>
    <w:basedOn w:val="1"/>
    <w:qFormat/>
    <w:uiPriority w:val="0"/>
    <w:pPr>
      <w:spacing w:before="100" w:beforeAutospacing="1" w:after="100" w:afterAutospacing="1" w:line="240" w:lineRule="auto"/>
      <w:jc w:val="center"/>
      <w:textAlignment w:val="center"/>
    </w:pPr>
    <w:rPr>
      <w:rFonts w:ascii="Calibri" w:hAnsi="Calibri" w:eastAsia="Times New Roman" w:cs="Times New Roman"/>
      <w:sz w:val="24"/>
      <w:szCs w:val="24"/>
    </w:rPr>
  </w:style>
  <w:style w:type="paragraph" w:customStyle="1" w:styleId="40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0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3">
    <w:name w:val="xl7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4">
    <w:name w:val="xl78"/>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05">
    <w:name w:val="xl79"/>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06">
    <w:name w:val="xl8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7">
    <w:name w:val="xl81"/>
    <w:basedOn w:val="1"/>
    <w:qFormat/>
    <w:uiPriority w:val="0"/>
    <w:pPr>
      <w:pBdr>
        <w:top w:val="single" w:color="auto" w:sz="4" w:space="0"/>
        <w:left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8">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09">
    <w:name w:val="xl8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10">
    <w:name w:val="xl8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1">
    <w:name w:val="xl8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2">
    <w:name w:val="xl8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13">
    <w:name w:val="xl8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14">
    <w:name w:val="xl8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5">
    <w:name w:val="xl89"/>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6">
    <w:name w:val="xl90"/>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417">
    <w:name w:val="xl91"/>
    <w:basedOn w:val="1"/>
    <w:qFormat/>
    <w:uiPriority w:val="0"/>
    <w:pPr>
      <w:spacing w:before="100" w:beforeAutospacing="1" w:after="100" w:afterAutospacing="1" w:line="240" w:lineRule="auto"/>
      <w:textAlignment w:val="center"/>
    </w:pPr>
    <w:rPr>
      <w:rFonts w:ascii="Calibri" w:hAnsi="Calibri" w:eastAsia="Times New Roman" w:cs="Times New Roman"/>
      <w:sz w:val="24"/>
      <w:szCs w:val="24"/>
    </w:rPr>
  </w:style>
  <w:style w:type="paragraph" w:customStyle="1" w:styleId="41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19">
    <w:name w:val="xl9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20">
    <w:name w:val="xl9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21">
    <w:name w:val="xl9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22">
    <w:name w:val="xl96"/>
    <w:basedOn w:val="1"/>
    <w:qFormat/>
    <w:uiPriority w:val="0"/>
    <w:pPr>
      <w:spacing w:before="100" w:beforeAutospacing="1" w:after="100" w:afterAutospacing="1" w:line="240" w:lineRule="auto"/>
      <w:jc w:val="right"/>
      <w:textAlignment w:val="center"/>
    </w:pPr>
    <w:rPr>
      <w:rFonts w:ascii="Times New Roman" w:hAnsi="Times New Roman" w:eastAsia="Times New Roman" w:cs="Times New Roman"/>
      <w:sz w:val="24"/>
      <w:szCs w:val="24"/>
    </w:rPr>
  </w:style>
  <w:style w:type="paragraph" w:customStyle="1" w:styleId="423">
    <w:name w:val="xl97"/>
    <w:basedOn w:val="1"/>
    <w:qFormat/>
    <w:uiPriority w:val="0"/>
    <w:pPr>
      <w:spacing w:before="100" w:beforeAutospacing="1" w:after="100" w:afterAutospacing="1" w:line="240" w:lineRule="auto"/>
      <w:jc w:val="right"/>
      <w:textAlignment w:val="center"/>
    </w:pPr>
    <w:rPr>
      <w:rFonts w:ascii="Calibri" w:hAnsi="Calibri" w:eastAsia="Times New Roman" w:cs="Times New Roman"/>
      <w:sz w:val="24"/>
      <w:szCs w:val="24"/>
    </w:rPr>
  </w:style>
  <w:style w:type="paragraph" w:customStyle="1" w:styleId="424">
    <w:name w:val="xl98"/>
    <w:basedOn w:val="1"/>
    <w:qFormat/>
    <w:uiPriority w:val="0"/>
    <w:pPr>
      <w:pBdr>
        <w:left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5">
    <w:name w:val="xl99"/>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6">
    <w:name w:val="xl100"/>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7">
    <w:name w:val="xl10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8">
    <w:name w:val="xl102"/>
    <w:basedOn w:val="1"/>
    <w:qFormat/>
    <w:uiPriority w:val="0"/>
    <w:pPr>
      <w:pBdr>
        <w:left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9">
    <w:name w:val="xl10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30">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31">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32">
    <w:name w:val="xl10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33">
    <w:name w:val="xl108"/>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34">
    <w:name w:val="xl109"/>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b/>
      <w:bCs/>
      <w:sz w:val="16"/>
      <w:szCs w:val="16"/>
    </w:rPr>
  </w:style>
  <w:style w:type="paragraph" w:customStyle="1" w:styleId="435">
    <w:name w:val="xl110"/>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36">
    <w:name w:val="xl111"/>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Arial" w:hAnsi="Arial" w:eastAsia="Times New Roman" w:cs="Arial"/>
      <w:b/>
      <w:bCs/>
      <w:sz w:val="16"/>
      <w:szCs w:val="16"/>
    </w:rPr>
  </w:style>
  <w:style w:type="paragraph" w:customStyle="1" w:styleId="437">
    <w:name w:val="xl112"/>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sz w:val="16"/>
      <w:szCs w:val="16"/>
    </w:rPr>
  </w:style>
  <w:style w:type="paragraph" w:customStyle="1" w:styleId="438">
    <w:name w:val="xl113"/>
    <w:basedOn w:val="1"/>
    <w:qFormat/>
    <w:uiPriority w:val="0"/>
    <w:pPr>
      <w:pBdr>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39">
    <w:name w:val="xl114"/>
    <w:basedOn w:val="1"/>
    <w:qFormat/>
    <w:uiPriority w:val="0"/>
    <w:pPr>
      <w:pBdr>
        <w:left w:val="single" w:color="auto" w:sz="4" w:space="0"/>
        <w:bottom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40">
    <w:name w:val="xl115"/>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41">
    <w:name w:val="xl116"/>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42">
    <w:name w:val="xl117"/>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3">
    <w:name w:val="xl118"/>
    <w:basedOn w:val="1"/>
    <w:qFormat/>
    <w:uiPriority w:val="0"/>
    <w:pPr>
      <w:pBdr>
        <w:left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4">
    <w:name w:val="xl119"/>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5">
    <w:name w:val="xl120"/>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46">
    <w:name w:val="xl12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7">
    <w:name w:val="xl122"/>
    <w:basedOn w:val="1"/>
    <w:qFormat/>
    <w:uiPriority w:val="0"/>
    <w:pPr>
      <w:pBdr>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48">
    <w:name w:val="xl123"/>
    <w:basedOn w:val="1"/>
    <w:qFormat/>
    <w:uiPriority w:val="0"/>
    <w:pPr>
      <w:pBdr>
        <w:left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49">
    <w:name w:val="xl124"/>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50">
    <w:name w:val="xl125"/>
    <w:basedOn w:val="1"/>
    <w:uiPriority w:val="0"/>
    <w:pPr>
      <w:pBdr>
        <w:top w:val="single" w:color="auto" w:sz="8" w:space="0"/>
        <w:bottom w:val="single" w:color="auto" w:sz="8"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51">
    <w:name w:val="xl126"/>
    <w:basedOn w:val="1"/>
    <w:uiPriority w:val="0"/>
    <w:pPr>
      <w:pBdr>
        <w:top w:val="single" w:color="auto" w:sz="8" w:space="0"/>
        <w:bottom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52">
    <w:name w:val="xl127"/>
    <w:basedOn w:val="1"/>
    <w:uiPriority w:val="0"/>
    <w:pPr>
      <w:pBdr>
        <w:top w:val="single" w:color="auto" w:sz="8"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sz w:val="16"/>
      <w:szCs w:val="16"/>
    </w:rPr>
  </w:style>
  <w:style w:type="paragraph" w:customStyle="1" w:styleId="453">
    <w:name w:val="xl128"/>
    <w:basedOn w:val="1"/>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rPr>
  </w:style>
  <w:style w:type="paragraph" w:customStyle="1" w:styleId="454">
    <w:name w:val="xl129"/>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rPr>
  </w:style>
  <w:style w:type="paragraph" w:customStyle="1" w:styleId="455">
    <w:name w:val="xl130"/>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rPr>
  </w:style>
  <w:style w:type="paragraph" w:customStyle="1" w:styleId="456">
    <w:name w:val="xl131"/>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rPr>
  </w:style>
  <w:style w:type="paragraph" w:customStyle="1" w:styleId="457">
    <w:name w:val="xl132"/>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Arial" w:hAnsi="Arial" w:eastAsia="Times New Roman" w:cs="Arial"/>
      <w:b/>
      <w:bCs/>
      <w:i/>
      <w:iCs/>
      <w:sz w:val="16"/>
      <w:szCs w:val="16"/>
    </w:rPr>
  </w:style>
  <w:style w:type="paragraph" w:customStyle="1" w:styleId="458">
    <w:name w:val="xl133"/>
    <w:basedOn w:val="1"/>
    <w:uiPriority w:val="0"/>
    <w:pPr>
      <w:pBdr>
        <w:top w:val="single" w:color="auto" w:sz="8" w:space="0"/>
        <w:left w:val="single" w:color="auto" w:sz="4"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i/>
      <w:iCs/>
      <w:sz w:val="16"/>
      <w:szCs w:val="16"/>
    </w:rPr>
  </w:style>
  <w:style w:type="paragraph" w:customStyle="1" w:styleId="459">
    <w:name w:val="xl134"/>
    <w:basedOn w:val="1"/>
    <w:uiPriority w:val="0"/>
    <w:pPr>
      <w:pBdr>
        <w:top w:val="single" w:color="auto" w:sz="8" w:space="0"/>
        <w:left w:val="single" w:color="auto" w:sz="8" w:space="0"/>
        <w:bottom w:val="single" w:color="auto" w:sz="8"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60">
    <w:name w:val="xl135"/>
    <w:basedOn w:val="1"/>
    <w:uiPriority w:val="0"/>
    <w:pPr>
      <w:pBdr>
        <w:top w:val="single" w:color="auto" w:sz="8" w:space="0"/>
        <w:bottom w:val="single" w:color="auto" w:sz="8"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61">
    <w:name w:val="xl136"/>
    <w:basedOn w:val="1"/>
    <w:uiPriority w:val="0"/>
    <w:pPr>
      <w:pBdr>
        <w:top w:val="single" w:color="auto" w:sz="8" w:space="0"/>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62">
    <w:name w:val="xl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63">
    <w:name w:val="CUERPO_TEXTO"/>
    <w:basedOn w:val="1"/>
    <w:qFormat/>
    <w:uiPriority w:val="9"/>
    <w:pPr>
      <w:spacing w:after="120" w:line="240" w:lineRule="auto"/>
      <w:jc w:val="both"/>
    </w:pPr>
    <w:rPr>
      <w:rFonts w:ascii="Verdana" w:hAnsi="Verdana" w:cs="Verdana"/>
      <w:sz w:val="18"/>
      <w:lang w:val="es-ES" w:eastAsia="es-ES"/>
    </w:rPr>
  </w:style>
  <w:style w:type="paragraph" w:customStyle="1" w:styleId="464">
    <w:name w:val="et3"/>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5">
    <w:name w:val="et4"/>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6">
    <w:name w:val="et5"/>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7">
    <w:name w:val="et6"/>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8">
    <w:name w:val="et7"/>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9">
    <w:name w:val="et8"/>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0">
    <w:name w:val="et9"/>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1">
    <w:name w:val="et10"/>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2">
    <w:name w:val="et11"/>
    <w:basedOn w:val="1"/>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3">
    <w:name w:val="et12"/>
    <w:basedOn w:val="1"/>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4">
    <w:name w:val="et13"/>
    <w:basedOn w:val="1"/>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5">
    <w:name w:val="et14"/>
    <w:basedOn w:val="1"/>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6">
    <w:name w:val="et15"/>
    <w:basedOn w:val="1"/>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7">
    <w:name w:val="et16"/>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8">
    <w:name w:val="et17"/>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9">
    <w:name w:val="et18"/>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0">
    <w:name w:val="et19"/>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1">
    <w:name w:val="et20"/>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2">
    <w:name w:val="et21"/>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3">
    <w:name w:val="et22"/>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4">
    <w:name w:val="et23"/>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5">
    <w:name w:val="et24"/>
    <w:basedOn w:val="1"/>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6">
    <w:name w:val="et25"/>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EDBA8-FA2D-49CF-88BC-C0935BC51442}">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Pages>
  <Words>43084</Words>
  <Characters>236968</Characters>
  <Lines>1974</Lines>
  <Paragraphs>558</Paragraphs>
  <TotalTime>0</TotalTime>
  <ScaleCrop>false</ScaleCrop>
  <LinksUpToDate>false</LinksUpToDate>
  <CharactersWithSpaces>279494</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2018-09-28T14:21:00Z</dcterms:created>
  <dc:creator>Olga B. Vargas Vázquez</dc:creator>
  <cp:lastModifiedBy>dmolina</cp:lastModifiedBy>
  <cp:lastPrinted>2018-07-13T14:26:00Z</cp:lastPrinted>
  <dcterms:modified xsi:type="dcterms:W3CDTF">2018-10-01T16:17:20Z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3082-10.2.0.5965</vt:lpwstr>
  </property>
</Properties>
</file>