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02" w:rsidRPr="00A519F4" w:rsidRDefault="007A6802" w:rsidP="007A6802">
      <w:pPr>
        <w:pStyle w:val="Ttulo1"/>
        <w:tabs>
          <w:tab w:val="left" w:pos="0"/>
          <w:tab w:val="left" w:pos="142"/>
        </w:tabs>
        <w:spacing w:after="0" w:line="240" w:lineRule="auto"/>
        <w:ind w:left="0" w:right="0" w:firstLine="0"/>
        <w:contextualSpacing/>
        <w:jc w:val="center"/>
        <w:rPr>
          <w:rFonts w:asciiTheme="minorHAnsi" w:hAnsiTheme="minorHAnsi"/>
          <w:sz w:val="22"/>
        </w:rPr>
      </w:pPr>
      <w:bookmarkStart w:id="0" w:name="_Toc12024817"/>
    </w:p>
    <w:p w:rsidR="007A6802" w:rsidRPr="00A519F4" w:rsidRDefault="007A6802" w:rsidP="00A519F4">
      <w:pPr>
        <w:pStyle w:val="Ttulo1"/>
        <w:tabs>
          <w:tab w:val="left" w:pos="0"/>
          <w:tab w:val="left" w:pos="142"/>
        </w:tabs>
        <w:spacing w:after="0" w:line="240" w:lineRule="auto"/>
        <w:ind w:left="0" w:right="0" w:firstLine="0"/>
        <w:contextualSpacing/>
        <w:jc w:val="center"/>
        <w:rPr>
          <w:rFonts w:asciiTheme="minorHAnsi" w:hAnsiTheme="minorHAnsi"/>
          <w:sz w:val="22"/>
        </w:rPr>
      </w:pPr>
      <w:r w:rsidRPr="00A519F4">
        <w:rPr>
          <w:rFonts w:asciiTheme="minorHAnsi" w:hAnsiTheme="minorHAnsi"/>
          <w:sz w:val="22"/>
        </w:rPr>
        <w:t>ESTUDIO DE MERCADO</w:t>
      </w:r>
      <w:bookmarkEnd w:id="0"/>
      <w:r w:rsidR="00A519F4">
        <w:rPr>
          <w:rFonts w:asciiTheme="minorHAnsi" w:hAnsiTheme="minorHAnsi"/>
          <w:sz w:val="22"/>
        </w:rPr>
        <w:t xml:space="preserve"> PARA LA DEFINICIÓN DEL PRESUPUESTO REFERENCIAL EN CONSULTORIA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sz w:val="22"/>
        </w:rPr>
        <w:t>S</w:t>
      </w:r>
      <w:r w:rsidRPr="00A519F4">
        <w:rPr>
          <w:rFonts w:asciiTheme="minorHAnsi" w:eastAsia="Calibri" w:hAnsiTheme="minorHAnsi"/>
          <w:sz w:val="22"/>
        </w:rPr>
        <w:t xml:space="preserve">e procede con el estudio de mercado para la definición del presupuesto referencial a ser utilizado en el procedimiento de </w:t>
      </w:r>
      <w:r w:rsidRPr="00A519F4">
        <w:rPr>
          <w:rFonts w:asciiTheme="minorHAnsi" w:eastAsia="Calibri" w:hAnsiTheme="minorHAnsi"/>
          <w:sz w:val="22"/>
        </w:rPr>
        <w:t xml:space="preserve">consultoría cuyo objeto de contratación es </w:t>
      </w:r>
      <w:r w:rsidRPr="00A519F4">
        <w:rPr>
          <w:rFonts w:asciiTheme="minorHAnsi" w:eastAsia="Calibri" w:hAnsiTheme="minorHAnsi"/>
          <w:i/>
          <w:color w:val="FF0000"/>
          <w:sz w:val="22"/>
        </w:rPr>
        <w:t>(colocar el objeto de contratación)</w:t>
      </w:r>
      <w:r w:rsidRPr="00A519F4">
        <w:rPr>
          <w:rFonts w:asciiTheme="minorHAnsi" w:eastAsia="Calibri" w:hAnsiTheme="minorHAnsi"/>
          <w:sz w:val="22"/>
        </w:rPr>
        <w:t xml:space="preserve">, </w:t>
      </w:r>
      <w:r w:rsidRPr="00A519F4">
        <w:rPr>
          <w:rFonts w:asciiTheme="minorHAnsi" w:eastAsia="Calibri" w:hAnsiTheme="minorHAnsi"/>
          <w:sz w:val="22"/>
        </w:rPr>
        <w:t xml:space="preserve">de conformidad al Art. 34 del Reglamento General de la LOSNCP y </w:t>
      </w:r>
      <w:r w:rsidRPr="00A519F4">
        <w:rPr>
          <w:rFonts w:asciiTheme="minorHAnsi" w:eastAsia="Calibri" w:hAnsiTheme="minorHAnsi"/>
          <w:sz w:val="22"/>
        </w:rPr>
        <w:t>en los términos dispuestos en la Resolución Externa del SERCOP N° RE-SERCOP-2016-0000072</w:t>
      </w:r>
      <w:r w:rsidRPr="00A519F4">
        <w:rPr>
          <w:rFonts w:asciiTheme="minorHAnsi" w:eastAsia="Calibri" w:hAnsiTheme="minorHAnsi"/>
          <w:sz w:val="22"/>
        </w:rPr>
        <w:t>,</w:t>
      </w:r>
      <w:r w:rsidRPr="00A519F4">
        <w:rPr>
          <w:rFonts w:asciiTheme="minorHAnsi" w:eastAsia="Calibri" w:hAnsiTheme="minorHAnsi"/>
          <w:sz w:val="22"/>
        </w:rPr>
        <w:t xml:space="preserve"> </w:t>
      </w:r>
      <w:r w:rsidRPr="00A519F4">
        <w:rPr>
          <w:rFonts w:asciiTheme="minorHAnsi" w:eastAsia="Calibri" w:hAnsiTheme="minorHAnsi"/>
          <w:sz w:val="22"/>
        </w:rPr>
        <w:t>Art. 9 numeral 2.</w:t>
      </w:r>
      <w:r w:rsidRPr="00A519F4">
        <w:rPr>
          <w:rFonts w:asciiTheme="minorHAnsi" w:hAnsiTheme="minorHAnsi"/>
          <w:sz w:val="22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b/>
          <w:sz w:val="22"/>
        </w:rPr>
        <w:t xml:space="preserve"> </w:t>
      </w:r>
    </w:p>
    <w:p w:rsidR="007A6802" w:rsidRPr="00A519F4" w:rsidRDefault="007A6802" w:rsidP="007A6802">
      <w:pPr>
        <w:pStyle w:val="Ttulo2"/>
        <w:tabs>
          <w:tab w:val="left" w:pos="0"/>
          <w:tab w:val="left" w:pos="142"/>
        </w:tabs>
        <w:spacing w:after="0" w:line="240" w:lineRule="auto"/>
        <w:ind w:left="0" w:right="0" w:firstLine="0"/>
        <w:contextualSpacing/>
        <w:jc w:val="both"/>
        <w:rPr>
          <w:rFonts w:asciiTheme="minorHAnsi" w:hAnsiTheme="minorHAnsi"/>
          <w:sz w:val="22"/>
        </w:rPr>
      </w:pPr>
      <w:bookmarkStart w:id="1" w:name="_Toc12024818"/>
      <w:r w:rsidRPr="00A519F4">
        <w:rPr>
          <w:rFonts w:asciiTheme="minorHAnsi" w:eastAsia="Calibri" w:hAnsiTheme="minorHAnsi"/>
          <w:b/>
          <w:i w:val="0"/>
          <w:color w:val="000000"/>
          <w:sz w:val="22"/>
        </w:rPr>
        <w:t>1. Análisis del bien o servicio a ser adquirido</w:t>
      </w:r>
      <w:bookmarkEnd w:id="1"/>
      <w:r w:rsidRPr="00A519F4">
        <w:rPr>
          <w:rFonts w:asciiTheme="minorHAnsi" w:eastAsia="Calibri" w:hAnsiTheme="minorHAnsi"/>
          <w:i w:val="0"/>
          <w:color w:val="000000"/>
          <w:sz w:val="22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sz w:val="22"/>
        </w:rPr>
      </w:pPr>
      <w:r w:rsidRPr="00A519F4">
        <w:rPr>
          <w:rFonts w:asciiTheme="minorHAnsi" w:eastAsia="Calibri" w:hAnsiTheme="minorHAnsi"/>
          <w:sz w:val="22"/>
        </w:rPr>
        <w:t xml:space="preserve"> </w:t>
      </w:r>
    </w:p>
    <w:p w:rsidR="007A6802" w:rsidRPr="00A519F4" w:rsidRDefault="007A6802" w:rsidP="007A6802">
      <w:pPr>
        <w:pStyle w:val="Ttulo3"/>
        <w:tabs>
          <w:tab w:val="left" w:pos="0"/>
          <w:tab w:val="left" w:pos="142"/>
          <w:tab w:val="center" w:pos="1767"/>
        </w:tabs>
        <w:spacing w:line="240" w:lineRule="auto"/>
        <w:ind w:left="0" w:firstLine="0"/>
        <w:contextualSpacing/>
        <w:jc w:val="both"/>
        <w:rPr>
          <w:rFonts w:asciiTheme="minorHAnsi" w:hAnsiTheme="minorHAnsi" w:cs="Arial"/>
        </w:rPr>
      </w:pPr>
      <w:bookmarkStart w:id="2" w:name="_Toc12024819"/>
      <w:r w:rsidRPr="00A519F4">
        <w:rPr>
          <w:rFonts w:asciiTheme="minorHAnsi" w:hAnsiTheme="minorHAnsi" w:cs="Arial"/>
        </w:rPr>
        <w:t>1.1.</w:t>
      </w:r>
      <w:r w:rsidRPr="00A519F4">
        <w:rPr>
          <w:rFonts w:asciiTheme="minorHAnsi" w:eastAsia="Arial" w:hAnsiTheme="minorHAnsi" w:cs="Arial"/>
        </w:rPr>
        <w:t xml:space="preserve"> </w:t>
      </w:r>
      <w:r w:rsidRPr="00A519F4">
        <w:rPr>
          <w:rFonts w:asciiTheme="minorHAnsi" w:hAnsiTheme="minorHAnsi" w:cs="Arial"/>
        </w:rPr>
        <w:t>Características técnicas</w:t>
      </w:r>
      <w:bookmarkEnd w:id="2"/>
      <w:r w:rsidRPr="00A519F4">
        <w:rPr>
          <w:rFonts w:asciiTheme="minorHAnsi" w:hAnsiTheme="minorHAnsi" w:cs="Arial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sz w:val="22"/>
        </w:rPr>
      </w:pPr>
    </w:p>
    <w:p w:rsidR="00984BBA" w:rsidRPr="00A519F4" w:rsidRDefault="00984BBA" w:rsidP="00984BBA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i/>
          <w:color w:val="FF0000"/>
          <w:sz w:val="22"/>
        </w:rPr>
      </w:pPr>
      <w:r w:rsidRPr="00A519F4">
        <w:rPr>
          <w:rFonts w:asciiTheme="minorHAnsi" w:hAnsiTheme="minorHAnsi"/>
          <w:i/>
          <w:color w:val="FF0000"/>
          <w:sz w:val="22"/>
        </w:rPr>
        <w:t>(Se puede hacer referencia a las ET o los TDRs)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b/>
          <w:sz w:val="22"/>
        </w:rPr>
        <w:t>1.2.</w:t>
      </w:r>
      <w:r w:rsidRPr="00A519F4">
        <w:rPr>
          <w:rFonts w:asciiTheme="minorHAnsi" w:hAnsiTheme="minorHAnsi"/>
          <w:b/>
          <w:sz w:val="22"/>
        </w:rPr>
        <w:t xml:space="preserve"> </w:t>
      </w:r>
      <w:r w:rsidRPr="00A519F4">
        <w:rPr>
          <w:rFonts w:asciiTheme="minorHAnsi" w:eastAsia="Calibri" w:hAnsiTheme="minorHAnsi"/>
          <w:b/>
          <w:sz w:val="22"/>
        </w:rPr>
        <w:t xml:space="preserve">Origen: nacional, importado o ambos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sz w:val="22"/>
        </w:rPr>
        <w:t xml:space="preserve"> </w:t>
      </w:r>
    </w:p>
    <w:p w:rsidR="007A6802" w:rsidRPr="00A519F4" w:rsidRDefault="00984BBA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i/>
          <w:color w:val="FF0000"/>
          <w:sz w:val="22"/>
        </w:rPr>
      </w:pPr>
      <w:r w:rsidRPr="00A519F4">
        <w:rPr>
          <w:rFonts w:asciiTheme="minorHAnsi" w:eastAsia="Calibri" w:hAnsiTheme="minorHAnsi"/>
          <w:i/>
          <w:color w:val="FF0000"/>
          <w:sz w:val="22"/>
        </w:rPr>
        <w:t>(Definir si la consultoría es nacional o extranjera)</w:t>
      </w:r>
    </w:p>
    <w:p w:rsidR="00984BBA" w:rsidRPr="00A519F4" w:rsidRDefault="00984BBA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pStyle w:val="Ttulo3"/>
        <w:tabs>
          <w:tab w:val="left" w:pos="0"/>
          <w:tab w:val="left" w:pos="142"/>
          <w:tab w:val="center" w:pos="2470"/>
        </w:tabs>
        <w:spacing w:line="240" w:lineRule="auto"/>
        <w:ind w:left="0" w:firstLine="0"/>
        <w:contextualSpacing/>
        <w:jc w:val="both"/>
        <w:rPr>
          <w:rFonts w:asciiTheme="minorHAnsi" w:hAnsiTheme="minorHAnsi" w:cs="Arial"/>
        </w:rPr>
      </w:pPr>
      <w:bookmarkStart w:id="3" w:name="_Toc12024820"/>
      <w:r w:rsidRPr="00A519F4">
        <w:rPr>
          <w:rFonts w:asciiTheme="minorHAnsi" w:hAnsiTheme="minorHAnsi" w:cs="Arial"/>
        </w:rPr>
        <w:t>1.3.</w:t>
      </w:r>
      <w:r w:rsidRPr="00A519F4">
        <w:rPr>
          <w:rFonts w:asciiTheme="minorHAnsi" w:eastAsia="Arial" w:hAnsiTheme="minorHAnsi" w:cs="Arial"/>
        </w:rPr>
        <w:t xml:space="preserve"> </w:t>
      </w:r>
      <w:r w:rsidRPr="00A519F4">
        <w:rPr>
          <w:rFonts w:asciiTheme="minorHAnsi" w:hAnsiTheme="minorHAnsi" w:cs="Arial"/>
        </w:rPr>
        <w:t>Facilidad de adquisición en el mercado</w:t>
      </w:r>
      <w:bookmarkEnd w:id="3"/>
      <w:r w:rsidRPr="00A519F4">
        <w:rPr>
          <w:rFonts w:asciiTheme="minorHAnsi" w:hAnsiTheme="minorHAnsi" w:cs="Arial"/>
          <w:b w:val="0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sz w:val="22"/>
        </w:rPr>
        <w:t xml:space="preserve"> </w:t>
      </w:r>
    </w:p>
    <w:p w:rsidR="00820029" w:rsidRPr="00A519F4" w:rsidRDefault="00820029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i/>
          <w:color w:val="FF0000"/>
          <w:sz w:val="22"/>
        </w:rPr>
      </w:pPr>
      <w:r w:rsidRPr="00A519F4">
        <w:rPr>
          <w:rFonts w:asciiTheme="minorHAnsi" w:hAnsiTheme="minorHAnsi"/>
          <w:i/>
          <w:color w:val="FF0000"/>
          <w:sz w:val="22"/>
        </w:rPr>
        <w:t>(Dependiendo la naturaleza del objeto de contratación el técnico deberá indicar si el objeto es disponible fácilmente en el mercado local y nacional.)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b/>
          <w:sz w:val="22"/>
        </w:rPr>
        <w:t xml:space="preserve"> </w:t>
      </w:r>
    </w:p>
    <w:p w:rsidR="007A6802" w:rsidRPr="00A519F4" w:rsidRDefault="007A6802" w:rsidP="007A6802">
      <w:pPr>
        <w:pStyle w:val="Ttulo3"/>
        <w:tabs>
          <w:tab w:val="left" w:pos="0"/>
          <w:tab w:val="left" w:pos="142"/>
          <w:tab w:val="center" w:pos="1688"/>
        </w:tabs>
        <w:spacing w:line="240" w:lineRule="auto"/>
        <w:ind w:left="0" w:firstLine="0"/>
        <w:contextualSpacing/>
        <w:jc w:val="both"/>
        <w:rPr>
          <w:rFonts w:asciiTheme="minorHAnsi" w:hAnsiTheme="minorHAnsi" w:cs="Arial"/>
        </w:rPr>
      </w:pPr>
      <w:bookmarkStart w:id="4" w:name="_Toc12024821"/>
      <w:r w:rsidRPr="00A519F4">
        <w:rPr>
          <w:rFonts w:asciiTheme="minorHAnsi" w:hAnsiTheme="minorHAnsi" w:cs="Arial"/>
        </w:rPr>
        <w:t>1.4.</w:t>
      </w:r>
      <w:r w:rsidRPr="00A519F4">
        <w:rPr>
          <w:rFonts w:asciiTheme="minorHAnsi" w:eastAsia="Arial" w:hAnsiTheme="minorHAnsi" w:cs="Arial"/>
        </w:rPr>
        <w:t xml:space="preserve"> </w:t>
      </w:r>
      <w:r w:rsidRPr="00A519F4">
        <w:rPr>
          <w:rFonts w:asciiTheme="minorHAnsi" w:hAnsiTheme="minorHAnsi" w:cs="Arial"/>
        </w:rPr>
        <w:t>Número de oferentes</w:t>
      </w:r>
      <w:bookmarkEnd w:id="4"/>
      <w:r w:rsidRPr="00A519F4">
        <w:rPr>
          <w:rFonts w:asciiTheme="minorHAnsi" w:hAnsiTheme="minorHAnsi" w:cs="Arial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b/>
          <w:sz w:val="22"/>
        </w:rPr>
        <w:t xml:space="preserve"> </w:t>
      </w:r>
    </w:p>
    <w:p w:rsidR="00820029" w:rsidRPr="00A519F4" w:rsidRDefault="00820029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i/>
          <w:color w:val="FF0000"/>
          <w:sz w:val="22"/>
        </w:rPr>
      </w:pPr>
      <w:r w:rsidRPr="00A519F4">
        <w:rPr>
          <w:rFonts w:asciiTheme="minorHAnsi" w:hAnsiTheme="minorHAnsi"/>
          <w:i/>
          <w:color w:val="FF0000"/>
          <w:sz w:val="22"/>
        </w:rPr>
        <w:t>Considerar proveedores inscritos con el CPC del objeto en el RUP y Número de oferentes investigados en el estudio de mercado en el siguiente link:</w:t>
      </w:r>
    </w:p>
    <w:p w:rsidR="007A6802" w:rsidRPr="00A519F4" w:rsidRDefault="00820029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sz w:val="22"/>
        </w:rPr>
      </w:pPr>
      <w:r w:rsidRPr="00A519F4">
        <w:rPr>
          <w:rFonts w:asciiTheme="minorHAnsi" w:hAnsiTheme="minorHAnsi"/>
          <w:sz w:val="22"/>
        </w:rPr>
        <w:t xml:space="preserve">  </w:t>
      </w:r>
      <w:hyperlink r:id="rId8">
        <w:r w:rsidRPr="00A519F4">
          <w:rPr>
            <w:rFonts w:asciiTheme="minorHAnsi" w:eastAsia="Calibri" w:hAnsiTheme="minorHAnsi"/>
            <w:color w:val="0000FF"/>
            <w:sz w:val="22"/>
            <w:u w:val="single" w:color="0000FF"/>
          </w:rPr>
          <w:t xml:space="preserve">https://www.compraspublicas.gob.ec/ProcesoContratacion/compras/EP/BusquedaProveedo </w:t>
        </w:r>
      </w:hyperlink>
      <w:hyperlink r:id="rId9">
        <w:r w:rsidRPr="00A519F4">
          <w:rPr>
            <w:rFonts w:asciiTheme="minorHAnsi" w:eastAsia="Calibri" w:hAnsiTheme="minorHAnsi"/>
            <w:color w:val="0000FF"/>
            <w:sz w:val="22"/>
            <w:u w:val="single" w:color="0000FF"/>
          </w:rPr>
          <w:t>rCpc.cpe#</w:t>
        </w:r>
      </w:hyperlink>
      <w:r w:rsidR="007A6802" w:rsidRPr="00A519F4">
        <w:rPr>
          <w:rFonts w:asciiTheme="minorHAnsi" w:eastAsia="Calibri" w:hAnsiTheme="minorHAnsi"/>
          <w:sz w:val="22"/>
        </w:rPr>
        <w:t xml:space="preserve"> </w:t>
      </w:r>
    </w:p>
    <w:p w:rsidR="00820029" w:rsidRPr="00A519F4" w:rsidRDefault="00820029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sz w:val="22"/>
        </w:rPr>
      </w:pPr>
    </w:p>
    <w:p w:rsidR="00820029" w:rsidRPr="00A519F4" w:rsidRDefault="00820029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i/>
          <w:color w:val="FF0000"/>
          <w:sz w:val="22"/>
        </w:rPr>
      </w:pPr>
      <w:r w:rsidRPr="00A519F4">
        <w:rPr>
          <w:rFonts w:asciiTheme="minorHAnsi" w:eastAsia="Calibri" w:hAnsiTheme="minorHAnsi"/>
          <w:i/>
          <w:color w:val="FF0000"/>
          <w:sz w:val="22"/>
        </w:rPr>
        <w:t>(Se pueden realizar capturas de pantalla)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tabs>
          <w:tab w:val="left" w:pos="0"/>
          <w:tab w:val="left" w:pos="142"/>
          <w:tab w:val="center" w:pos="3973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b/>
          <w:sz w:val="22"/>
        </w:rPr>
        <w:t>1.5.</w:t>
      </w:r>
      <w:r w:rsidRPr="00A519F4">
        <w:rPr>
          <w:rFonts w:asciiTheme="minorHAnsi" w:hAnsiTheme="minorHAnsi"/>
          <w:b/>
          <w:sz w:val="22"/>
        </w:rPr>
        <w:t xml:space="preserve"> </w:t>
      </w:r>
      <w:r w:rsidRPr="00A519F4">
        <w:rPr>
          <w:rFonts w:asciiTheme="minorHAnsi" w:eastAsia="Calibri" w:hAnsiTheme="minorHAnsi"/>
          <w:b/>
          <w:sz w:val="22"/>
        </w:rPr>
        <w:t xml:space="preserve">Riesgo cambiario en caso de que el precio no esté expresado en dólares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b/>
          <w:sz w:val="22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sz w:val="22"/>
        </w:rPr>
        <w:t xml:space="preserve">No aplica, los valores están expresados en dólares americanos.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sz w:val="22"/>
        </w:rPr>
        <w:t xml:space="preserve">  </w:t>
      </w:r>
    </w:p>
    <w:p w:rsidR="007A6802" w:rsidRPr="00A519F4" w:rsidRDefault="007A6802" w:rsidP="007A6802">
      <w:pPr>
        <w:pStyle w:val="Ttulo2"/>
        <w:tabs>
          <w:tab w:val="left" w:pos="0"/>
          <w:tab w:val="left" w:pos="142"/>
        </w:tabs>
        <w:spacing w:after="0" w:line="240" w:lineRule="auto"/>
        <w:ind w:left="0" w:right="0" w:firstLine="0"/>
        <w:contextualSpacing/>
        <w:jc w:val="both"/>
        <w:rPr>
          <w:rFonts w:asciiTheme="minorHAnsi" w:hAnsiTheme="minorHAnsi"/>
          <w:sz w:val="22"/>
        </w:rPr>
      </w:pPr>
      <w:bookmarkStart w:id="5" w:name="_Toc12024822"/>
      <w:r w:rsidRPr="00A519F4">
        <w:rPr>
          <w:rFonts w:asciiTheme="minorHAnsi" w:eastAsia="Calibri" w:hAnsiTheme="minorHAnsi"/>
          <w:b/>
          <w:i w:val="0"/>
          <w:color w:val="000000"/>
          <w:sz w:val="22"/>
        </w:rPr>
        <w:t>2. Considerar los montos de adjudicaciones similares realizadas en años pasados</w:t>
      </w:r>
      <w:bookmarkEnd w:id="5"/>
      <w:r w:rsidRPr="00A519F4">
        <w:rPr>
          <w:rFonts w:asciiTheme="minorHAnsi" w:eastAsia="Calibri" w:hAnsiTheme="minorHAnsi"/>
          <w:i w:val="0"/>
          <w:color w:val="000000"/>
          <w:sz w:val="22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sz w:val="22"/>
        </w:rPr>
        <w:t xml:space="preserve"> </w:t>
      </w:r>
    </w:p>
    <w:p w:rsidR="002C130B" w:rsidRPr="00A519F4" w:rsidRDefault="002C130B" w:rsidP="00970B50">
      <w:pPr>
        <w:ind w:left="0" w:firstLine="0"/>
        <w:rPr>
          <w:rFonts w:asciiTheme="minorHAnsi" w:hAnsiTheme="minorHAnsi"/>
          <w:color w:val="FF0000"/>
          <w:sz w:val="22"/>
        </w:rPr>
      </w:pPr>
      <w:r w:rsidRPr="00A519F4">
        <w:rPr>
          <w:rFonts w:asciiTheme="minorHAnsi" w:eastAsia="Times New Roman" w:hAnsiTheme="minorHAnsi"/>
          <w:bCs/>
          <w:i/>
          <w:color w:val="FF0000"/>
          <w:sz w:val="22"/>
          <w:lang w:eastAsia="es-ES"/>
        </w:rPr>
        <w:t>Se deberá considerar los montos de adjudicaciones similares realizadas en años pasados, buscar procesos similares en página del SERCOP y obtener precios referenciales</w:t>
      </w:r>
      <w:r w:rsidRPr="00A519F4">
        <w:rPr>
          <w:rFonts w:asciiTheme="minorHAnsi" w:eastAsia="Times New Roman" w:hAnsiTheme="minorHAnsi"/>
          <w:bCs/>
          <w:color w:val="FF0000"/>
          <w:sz w:val="22"/>
          <w:lang w:eastAsia="es-ES"/>
        </w:rPr>
        <w:t xml:space="preserve"> (</w:t>
      </w:r>
      <w:hyperlink r:id="rId10" w:history="1">
        <w:r w:rsidRPr="00A519F4">
          <w:rPr>
            <w:rStyle w:val="Hipervnculo"/>
            <w:rFonts w:asciiTheme="minorHAnsi" w:eastAsia="Times New Roman" w:hAnsiTheme="minorHAnsi"/>
            <w:bCs/>
            <w:sz w:val="22"/>
            <w:lang w:eastAsia="es-ES"/>
          </w:rPr>
          <w:t>https://www.compraspublicas.gob.ec/ProcesoContratacion/compras/PC/buscarProceso.cpe?sg=1</w:t>
        </w:r>
      </w:hyperlink>
      <w:r w:rsidRPr="00A519F4">
        <w:rPr>
          <w:rFonts w:asciiTheme="minorHAnsi" w:eastAsia="Times New Roman" w:hAnsiTheme="minorHAnsi"/>
          <w:bCs/>
          <w:color w:val="FF0000"/>
          <w:sz w:val="22"/>
          <w:lang w:eastAsia="es-ES"/>
        </w:rPr>
        <w:t xml:space="preserve"> )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sz w:val="22"/>
        </w:rPr>
      </w:pPr>
    </w:p>
    <w:p w:rsidR="007A6802" w:rsidRPr="00A519F4" w:rsidRDefault="007A6802" w:rsidP="007A6802">
      <w:pPr>
        <w:pStyle w:val="Ttulo2"/>
        <w:tabs>
          <w:tab w:val="left" w:pos="0"/>
          <w:tab w:val="left" w:pos="142"/>
        </w:tabs>
        <w:spacing w:after="0" w:line="240" w:lineRule="auto"/>
        <w:ind w:left="0" w:right="0" w:firstLine="0"/>
        <w:contextualSpacing/>
        <w:jc w:val="both"/>
        <w:rPr>
          <w:rFonts w:asciiTheme="minorHAnsi" w:hAnsiTheme="minorHAnsi"/>
          <w:sz w:val="22"/>
        </w:rPr>
      </w:pPr>
      <w:bookmarkStart w:id="6" w:name="_Toc12024823"/>
      <w:r w:rsidRPr="00A519F4">
        <w:rPr>
          <w:rFonts w:asciiTheme="minorHAnsi" w:eastAsia="Calibri" w:hAnsiTheme="minorHAnsi"/>
          <w:b/>
          <w:i w:val="0"/>
          <w:color w:val="000000"/>
          <w:sz w:val="22"/>
        </w:rPr>
        <w:t>3. Tomar en cuenta la variación de precios locales e/o importados, según corresponda. De ser necesario traer los montos a valores presentes, considerando la inflación (nacional e/o internacional); es decir, realizar el análisis a precios actuales</w:t>
      </w:r>
      <w:bookmarkEnd w:id="6"/>
      <w:r w:rsidRPr="00A519F4">
        <w:rPr>
          <w:rFonts w:asciiTheme="minorHAnsi" w:eastAsia="Calibri" w:hAnsiTheme="minorHAnsi"/>
          <w:b/>
          <w:i w:val="0"/>
          <w:color w:val="000000"/>
          <w:sz w:val="22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b/>
          <w:sz w:val="22"/>
        </w:rPr>
      </w:pPr>
      <w:r w:rsidRPr="00A519F4">
        <w:rPr>
          <w:rFonts w:asciiTheme="minorHAnsi" w:eastAsia="Calibri" w:hAnsiTheme="minorHAnsi"/>
          <w:b/>
          <w:sz w:val="22"/>
        </w:rPr>
        <w:t xml:space="preserve"> </w:t>
      </w:r>
    </w:p>
    <w:p w:rsidR="00970B50" w:rsidRPr="00A519F4" w:rsidRDefault="00970B50" w:rsidP="00970B50">
      <w:pPr>
        <w:ind w:left="0"/>
        <w:rPr>
          <w:rFonts w:asciiTheme="minorHAnsi" w:hAnsiTheme="minorHAnsi"/>
          <w:i/>
          <w:color w:val="FF0000"/>
          <w:sz w:val="22"/>
        </w:rPr>
      </w:pPr>
      <w:r w:rsidRPr="00A519F4">
        <w:rPr>
          <w:rFonts w:asciiTheme="minorHAnsi" w:eastAsia="Times New Roman" w:hAnsiTheme="minorHAnsi"/>
          <w:bCs/>
          <w:i/>
          <w:color w:val="FF0000"/>
          <w:sz w:val="22"/>
          <w:lang w:eastAsia="es-ES"/>
        </w:rPr>
        <w:lastRenderedPageBreak/>
        <w:t xml:space="preserve">Tomar en cuenta la variación de precios locales e/o importados, según corresponda. De ser necesario traer los montos a valores presentes, considerando la inflación (nacional e/o internacional); es decir, </w:t>
      </w:r>
      <w:r w:rsidRPr="00A519F4">
        <w:rPr>
          <w:rFonts w:asciiTheme="minorHAnsi" w:eastAsia="Times New Roman" w:hAnsiTheme="minorHAnsi"/>
          <w:b/>
          <w:bCs/>
          <w:i/>
          <w:color w:val="FF0000"/>
          <w:sz w:val="22"/>
          <w:u w:val="single"/>
          <w:lang w:eastAsia="es-ES"/>
        </w:rPr>
        <w:t>realizar el análisis a precios actuales</w:t>
      </w:r>
      <w:r w:rsidRPr="00A519F4">
        <w:rPr>
          <w:rFonts w:asciiTheme="minorHAnsi" w:eastAsia="Times New Roman" w:hAnsiTheme="minorHAnsi"/>
          <w:bCs/>
          <w:i/>
          <w:color w:val="FF0000"/>
          <w:sz w:val="22"/>
          <w:lang w:eastAsia="es-ES"/>
        </w:rPr>
        <w:t>, es decir precios de años anteriores incrementarle la inflación según los índices del INEC.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b/>
          <w:sz w:val="22"/>
        </w:rPr>
        <w:t xml:space="preserve">4. Considerar la posibilidad de la existencia de productos o servicios sustitutos más eficientes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eastAsia="Calibri" w:hAnsiTheme="minorHAnsi"/>
          <w:b/>
          <w:sz w:val="22"/>
        </w:rPr>
        <w:t xml:space="preserve"> </w:t>
      </w:r>
    </w:p>
    <w:p w:rsidR="007A6802" w:rsidRPr="00A519F4" w:rsidRDefault="00970B50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Times New Roman" w:hAnsiTheme="minorHAnsi"/>
          <w:bCs/>
          <w:i/>
          <w:color w:val="FF0000"/>
          <w:sz w:val="22"/>
          <w:lang w:eastAsia="es-ES"/>
        </w:rPr>
      </w:pPr>
      <w:r w:rsidRPr="00A519F4">
        <w:rPr>
          <w:rFonts w:asciiTheme="minorHAnsi" w:eastAsia="Times New Roman" w:hAnsiTheme="minorHAnsi"/>
          <w:bCs/>
          <w:i/>
          <w:color w:val="FF0000"/>
          <w:sz w:val="22"/>
          <w:lang w:eastAsia="es-ES"/>
        </w:rPr>
        <w:t>Indicar si existen productos sustitutos.</w:t>
      </w:r>
    </w:p>
    <w:p w:rsidR="00970B50" w:rsidRPr="00A519F4" w:rsidRDefault="00970B50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pStyle w:val="Ttulo2"/>
        <w:tabs>
          <w:tab w:val="left" w:pos="0"/>
          <w:tab w:val="left" w:pos="142"/>
        </w:tabs>
        <w:spacing w:after="0" w:line="240" w:lineRule="auto"/>
        <w:ind w:left="0" w:right="0" w:firstLine="0"/>
        <w:contextualSpacing/>
        <w:jc w:val="both"/>
        <w:rPr>
          <w:rFonts w:asciiTheme="minorHAnsi" w:hAnsiTheme="minorHAnsi"/>
          <w:sz w:val="22"/>
        </w:rPr>
      </w:pPr>
      <w:bookmarkStart w:id="7" w:name="_Toc12024824"/>
      <w:r w:rsidRPr="00A519F4">
        <w:rPr>
          <w:rFonts w:asciiTheme="minorHAnsi" w:eastAsia="Calibri" w:hAnsiTheme="minorHAnsi"/>
          <w:b/>
          <w:i w:val="0"/>
          <w:color w:val="000000"/>
          <w:sz w:val="22"/>
        </w:rPr>
        <w:t>5. Proformas de proveedores de las obras, bienes o servicios a contratar</w:t>
      </w:r>
      <w:bookmarkEnd w:id="7"/>
      <w:r w:rsidRPr="00A519F4">
        <w:rPr>
          <w:rFonts w:asciiTheme="minorHAnsi" w:eastAsia="Calibri" w:hAnsiTheme="minorHAnsi"/>
          <w:i w:val="0"/>
          <w:color w:val="000000"/>
          <w:sz w:val="22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sz w:val="22"/>
        </w:rPr>
      </w:pPr>
      <w:r w:rsidRPr="00A519F4">
        <w:rPr>
          <w:rFonts w:asciiTheme="minorHAnsi" w:eastAsia="Calibri" w:hAnsiTheme="minorHAnsi"/>
          <w:sz w:val="22"/>
        </w:rPr>
        <w:t xml:space="preserve">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i/>
          <w:sz w:val="22"/>
        </w:rPr>
      </w:pPr>
    </w:p>
    <w:tbl>
      <w:tblPr>
        <w:tblStyle w:val="TableGrid"/>
        <w:tblW w:w="8931" w:type="dxa"/>
        <w:jc w:val="center"/>
        <w:tblInd w:w="0" w:type="dxa"/>
        <w:tblLayout w:type="fixed"/>
        <w:tblCellMar>
          <w:top w:w="40" w:type="dxa"/>
          <w:left w:w="68" w:type="dxa"/>
          <w:bottom w:w="4" w:type="dxa"/>
          <w:right w:w="34" w:type="dxa"/>
        </w:tblCellMar>
        <w:tblLook w:val="04A0" w:firstRow="1" w:lastRow="0" w:firstColumn="1" w:lastColumn="0" w:noHBand="0" w:noVBand="1"/>
      </w:tblPr>
      <w:tblGrid>
        <w:gridCol w:w="1838"/>
        <w:gridCol w:w="998"/>
        <w:gridCol w:w="992"/>
        <w:gridCol w:w="992"/>
        <w:gridCol w:w="992"/>
        <w:gridCol w:w="1134"/>
        <w:gridCol w:w="993"/>
        <w:gridCol w:w="992"/>
      </w:tblGrid>
      <w:tr w:rsidR="007A6802" w:rsidRPr="00A519F4" w:rsidTr="00F30122">
        <w:trPr>
          <w:trHeight w:val="404"/>
          <w:jc w:val="center"/>
        </w:trPr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</w:t>
            </w:r>
            <w:r w:rsidRPr="00A519F4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i/>
                <w:sz w:val="22"/>
                <w:szCs w:val="22"/>
              </w:rPr>
              <w:t>Proveedor 1</w:t>
            </w:r>
          </w:p>
          <w:p w:rsidR="007A6802" w:rsidRPr="00A519F4" w:rsidRDefault="007A6802" w:rsidP="00970B50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i/>
                <w:sz w:val="22"/>
                <w:szCs w:val="22"/>
              </w:rPr>
              <w:t>Proveedor 2</w:t>
            </w:r>
          </w:p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i/>
                <w:sz w:val="22"/>
                <w:szCs w:val="22"/>
              </w:rPr>
              <w:t>Proveedor 3</w:t>
            </w:r>
          </w:p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A6802" w:rsidRPr="00A519F4" w:rsidTr="00F30122">
        <w:trPr>
          <w:trHeight w:val="21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DESCRIPCIÓN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 xml:space="preserve">CANTIDAD TOTAL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VALOR UNITARIO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VALOR UNITARIO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VALOR UNITARIO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TOTAL</w:t>
            </w:r>
          </w:p>
        </w:tc>
      </w:tr>
      <w:tr w:rsidR="007A6802" w:rsidRPr="00A519F4" w:rsidTr="00F30122">
        <w:trPr>
          <w:trHeight w:val="8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</w:t>
            </w:r>
          </w:p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A519F4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</w:t>
            </w:r>
          </w:p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A6802" w:rsidRPr="00A519F4" w:rsidTr="00F30122">
        <w:trPr>
          <w:trHeight w:val="2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</w:tr>
      <w:tr w:rsidR="007A6802" w:rsidRPr="00A519F4" w:rsidTr="00F30122">
        <w:trPr>
          <w:trHeight w:val="2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right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</w:tr>
    </w:tbl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i/>
          <w:sz w:val="22"/>
        </w:rPr>
      </w:pPr>
    </w:p>
    <w:p w:rsidR="00970B50" w:rsidRPr="00A519F4" w:rsidRDefault="00970B50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eastAsia="Calibri" w:hAnsiTheme="minorHAnsi"/>
          <w:i/>
          <w:sz w:val="22"/>
        </w:rPr>
      </w:pPr>
    </w:p>
    <w:p w:rsidR="00970B50" w:rsidRPr="00A519F4" w:rsidRDefault="00970B50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b/>
          <w:sz w:val="22"/>
        </w:rPr>
      </w:pPr>
      <w:r w:rsidRPr="00A519F4">
        <w:rPr>
          <w:rFonts w:asciiTheme="minorHAnsi" w:hAnsiTheme="minorHAnsi"/>
          <w:b/>
          <w:sz w:val="22"/>
        </w:rPr>
        <w:t>6. COSTOS DIRECTOS E INDIRECTOS</w:t>
      </w:r>
    </w:p>
    <w:p w:rsidR="00A519F4" w:rsidRPr="00A519F4" w:rsidRDefault="00A519F4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b/>
          <w:sz w:val="22"/>
        </w:rPr>
      </w:pPr>
    </w:p>
    <w:p w:rsidR="00A519F4" w:rsidRPr="00A519F4" w:rsidRDefault="00A519F4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i/>
          <w:color w:val="FF0000"/>
          <w:sz w:val="22"/>
        </w:rPr>
      </w:pPr>
      <w:r w:rsidRPr="00A519F4">
        <w:rPr>
          <w:rFonts w:asciiTheme="minorHAnsi" w:hAnsiTheme="minorHAnsi"/>
          <w:i/>
          <w:color w:val="FF0000"/>
          <w:sz w:val="22"/>
        </w:rPr>
        <w:t>(Revisar Art. 34 Reglamento General LOSNCP)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tbl>
      <w:tblPr>
        <w:tblW w:w="6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2420"/>
        <w:gridCol w:w="2312"/>
      </w:tblGrid>
      <w:tr w:rsidR="00970B50" w:rsidRPr="00970B50" w:rsidTr="00970B50">
        <w:trPr>
          <w:trHeight w:val="315"/>
        </w:trPr>
        <w:tc>
          <w:tcPr>
            <w:tcW w:w="4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DESCRIPCIÓN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Valor USD $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COSTOS DIRECTOS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Remuneraciones</w:t>
            </w:r>
            <w:r w:rsidR="00C20069">
              <w:rPr>
                <w:rFonts w:asciiTheme="minorHAnsi" w:eastAsia="Times New Roman" w:hAnsiTheme="minorHAnsi" w:cs="Times New Roman"/>
                <w:sz w:val="22"/>
              </w:rPr>
              <w:t xml:space="preserve"> </w:t>
            </w:r>
            <w:r w:rsidR="00C20069" w:rsidRPr="00C20069">
              <w:rPr>
                <w:rFonts w:asciiTheme="minorHAnsi" w:eastAsia="Times New Roman" w:hAnsiTheme="minorHAnsi" w:cs="Times New Roman"/>
                <w:i/>
                <w:color w:val="FF0000"/>
                <w:sz w:val="22"/>
              </w:rPr>
              <w:t>(considerar todos los beneficios de ley)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 xml:space="preserve"> $                    -   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Viajes y Viáticos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 xml:space="preserve"> $                    -   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Servicios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 xml:space="preserve"> $                    -   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Arrendamientos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 xml:space="preserve"> $                    -   </w:t>
            </w:r>
          </w:p>
        </w:tc>
        <w:bookmarkStart w:id="8" w:name="_GoBack"/>
        <w:bookmarkEnd w:id="8"/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Equipos e Instalaciones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 xml:space="preserve"> $                    -   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Suministros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 xml:space="preserve"> $                    -   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Reproducciones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 xml:space="preserve"> $                    -   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Otros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 xml:space="preserve"> $                    -   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Subtotal Costos Directos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 xml:space="preserve"> $                    -   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COSTOS INDIRECTOS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Utilidad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970B50" w:rsidRPr="00970B50" w:rsidTr="00970B5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Subtotal Costos Indirectos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 xml:space="preserve"> $                    -   </w:t>
            </w:r>
          </w:p>
        </w:tc>
      </w:tr>
      <w:tr w:rsidR="00970B50" w:rsidRPr="00970B50" w:rsidTr="00970B5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sz w:val="22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 xml:space="preserve">TOTAL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50" w:rsidRPr="00970B50" w:rsidRDefault="00970B50" w:rsidP="00970B5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970B50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 xml:space="preserve"> $                    -   </w:t>
            </w:r>
          </w:p>
        </w:tc>
      </w:tr>
    </w:tbl>
    <w:p w:rsidR="00970B50" w:rsidRPr="00A519F4" w:rsidRDefault="00970B50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70B50" w:rsidRPr="00A519F4" w:rsidRDefault="00970B50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A519F4">
        <w:rPr>
          <w:rFonts w:asciiTheme="minorHAnsi" w:hAnsiTheme="minorHAnsi"/>
          <w:sz w:val="22"/>
        </w:rPr>
        <w:t xml:space="preserve">Fecha:  </w:t>
      </w: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7A6802" w:rsidRPr="00A519F4" w:rsidRDefault="007A6802" w:rsidP="007A6802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tbl>
      <w:tblPr>
        <w:tblStyle w:val="TableGrid"/>
        <w:tblW w:w="8788" w:type="dxa"/>
        <w:tblInd w:w="142" w:type="dxa"/>
        <w:tblLayout w:type="fixed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3118"/>
        <w:gridCol w:w="3119"/>
      </w:tblGrid>
      <w:tr w:rsidR="007A6802" w:rsidRPr="00A519F4" w:rsidTr="00F30122">
        <w:trPr>
          <w:trHeight w:val="4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9F4"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9F4"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9F4"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</w:tr>
      <w:tr w:rsidR="007A6802" w:rsidRPr="00A519F4" w:rsidTr="00F30122">
        <w:trPr>
          <w:trHeight w:val="46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9F4">
              <w:rPr>
                <w:rFonts w:asciiTheme="minorHAnsi" w:hAnsiTheme="minorHAnsi"/>
                <w:sz w:val="22"/>
                <w:szCs w:val="22"/>
              </w:rPr>
              <w:t>Realizado por: Nombre Funcionario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9F4">
              <w:rPr>
                <w:rFonts w:asciiTheme="minorHAnsi" w:hAnsiTheme="minorHAnsi"/>
                <w:sz w:val="22"/>
                <w:szCs w:val="22"/>
              </w:rPr>
              <w:t>Revisado por: Nombre Funcionario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02" w:rsidRPr="00A519F4" w:rsidRDefault="007A6802" w:rsidP="00F30122">
            <w:p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9F4">
              <w:rPr>
                <w:rFonts w:asciiTheme="minorHAnsi" w:hAnsiTheme="minorHAnsi"/>
                <w:sz w:val="22"/>
                <w:szCs w:val="22"/>
              </w:rPr>
              <w:t>Autorizado por: Director Área requirente</w:t>
            </w:r>
          </w:p>
        </w:tc>
      </w:tr>
    </w:tbl>
    <w:p w:rsidR="006C0B7B" w:rsidRPr="00A519F4" w:rsidRDefault="006C0B7B">
      <w:pPr>
        <w:rPr>
          <w:rFonts w:asciiTheme="minorHAnsi" w:hAnsiTheme="minorHAnsi"/>
          <w:sz w:val="22"/>
        </w:rPr>
      </w:pPr>
    </w:p>
    <w:sectPr w:rsidR="006C0B7B" w:rsidRPr="00A519F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4B" w:rsidRDefault="00715A4B" w:rsidP="007A6802">
      <w:pPr>
        <w:spacing w:after="0" w:line="240" w:lineRule="auto"/>
      </w:pPr>
      <w:r>
        <w:separator/>
      </w:r>
    </w:p>
  </w:endnote>
  <w:endnote w:type="continuationSeparator" w:id="0">
    <w:p w:rsidR="00715A4B" w:rsidRDefault="00715A4B" w:rsidP="007A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4B" w:rsidRDefault="00715A4B" w:rsidP="007A6802">
      <w:pPr>
        <w:spacing w:after="0" w:line="240" w:lineRule="auto"/>
      </w:pPr>
      <w:r>
        <w:separator/>
      </w:r>
    </w:p>
  </w:footnote>
  <w:footnote w:type="continuationSeparator" w:id="0">
    <w:p w:rsidR="00715A4B" w:rsidRDefault="00715A4B" w:rsidP="007A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02" w:rsidRDefault="007A6802" w:rsidP="007A6802">
    <w:pPr>
      <w:pStyle w:val="Encabezado"/>
      <w:jc w:val="center"/>
    </w:pPr>
    <w:r w:rsidRPr="00A67C37">
      <w:rPr>
        <w:noProof/>
      </w:rPr>
      <w:drawing>
        <wp:inline distT="0" distB="0" distL="0" distR="0" wp14:anchorId="0186C7A0" wp14:editId="2AA4F3A8">
          <wp:extent cx="2505075" cy="866775"/>
          <wp:effectExtent l="0" t="0" r="9525" b="9525"/>
          <wp:docPr id="2" name="Imagen 2" descr="Descripción: http://www.cuenca.gob.ec/sites/all/themes/eventu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www.cuenca.gob.ec/sites/all/themes/eventu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80" b="16086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C2A96"/>
    <w:multiLevelType w:val="multilevel"/>
    <w:tmpl w:val="4C0C2A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02"/>
    <w:rsid w:val="002C130B"/>
    <w:rsid w:val="006C0B7B"/>
    <w:rsid w:val="00715A4B"/>
    <w:rsid w:val="007A6802"/>
    <w:rsid w:val="00820029"/>
    <w:rsid w:val="00970B50"/>
    <w:rsid w:val="00984BBA"/>
    <w:rsid w:val="00A519F4"/>
    <w:rsid w:val="00C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3ED915-8B55-49A8-8F64-BC73878A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02"/>
    <w:pPr>
      <w:spacing w:after="14" w:line="249" w:lineRule="auto"/>
      <w:ind w:left="370" w:hanging="10"/>
      <w:jc w:val="both"/>
    </w:pPr>
    <w:rPr>
      <w:rFonts w:ascii="Arial" w:eastAsia="Arial" w:hAnsi="Arial" w:cs="Arial"/>
      <w:color w:val="000000"/>
      <w:sz w:val="24"/>
      <w:lang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7A6802"/>
    <w:pPr>
      <w:keepNext/>
      <w:keepLines/>
      <w:spacing w:after="3"/>
      <w:ind w:left="10" w:right="34" w:hanging="10"/>
      <w:outlineLvl w:val="0"/>
    </w:pPr>
    <w:rPr>
      <w:rFonts w:ascii="Arial" w:eastAsia="Arial" w:hAnsi="Arial" w:cs="Arial"/>
      <w:b/>
      <w:color w:val="000000"/>
      <w:sz w:val="24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7A6802"/>
    <w:pPr>
      <w:keepNext/>
      <w:keepLines/>
      <w:spacing w:after="20"/>
      <w:ind w:left="10" w:right="37" w:hanging="10"/>
      <w:jc w:val="center"/>
      <w:outlineLvl w:val="1"/>
    </w:pPr>
    <w:rPr>
      <w:rFonts w:ascii="Arial" w:eastAsia="Arial" w:hAnsi="Arial" w:cs="Arial"/>
      <w:i/>
      <w:color w:val="2E74B5"/>
      <w:sz w:val="24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7A6802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7A6802"/>
    <w:rPr>
      <w:rFonts w:ascii="Arial" w:eastAsia="Arial" w:hAnsi="Arial" w:cs="Arial"/>
      <w:b/>
      <w:color w:val="000000"/>
      <w:sz w:val="24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7A6802"/>
    <w:rPr>
      <w:rFonts w:ascii="Arial" w:eastAsia="Arial" w:hAnsi="Arial" w:cs="Arial"/>
      <w:i/>
      <w:color w:val="2E74B5"/>
      <w:sz w:val="24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7A6802"/>
    <w:rPr>
      <w:rFonts w:ascii="Calibri" w:eastAsia="Calibri" w:hAnsi="Calibri" w:cs="Calibri"/>
      <w:b/>
      <w:color w:val="000000"/>
      <w:lang w:eastAsia="es-EC"/>
    </w:rPr>
  </w:style>
  <w:style w:type="table" w:customStyle="1" w:styleId="TableGrid">
    <w:name w:val="TableGrid"/>
    <w:qFormat/>
    <w:rsid w:val="007A6802"/>
    <w:pPr>
      <w:spacing w:after="0" w:line="240" w:lineRule="auto"/>
    </w:pPr>
    <w:rPr>
      <w:sz w:val="20"/>
      <w:szCs w:val="20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rafodelista1">
    <w:name w:val="Párrafo de lista1"/>
    <w:basedOn w:val="Normal"/>
    <w:qFormat/>
    <w:rsid w:val="007A6802"/>
    <w:pPr>
      <w:spacing w:before="100" w:beforeAutospacing="1" w:after="160" w:line="25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7A68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802"/>
    <w:rPr>
      <w:rFonts w:ascii="Segoe UI" w:eastAsia="Arial" w:hAnsi="Segoe UI" w:cs="Segoe UI"/>
      <w:color w:val="000000"/>
      <w:sz w:val="18"/>
      <w:szCs w:val="1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A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802"/>
    <w:rPr>
      <w:rFonts w:ascii="Arial" w:eastAsia="Arial" w:hAnsi="Arial" w:cs="Arial"/>
      <w:color w:val="000000"/>
      <w:sz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7A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802"/>
    <w:rPr>
      <w:rFonts w:ascii="Arial" w:eastAsia="Arial" w:hAnsi="Arial" w:cs="Arial"/>
      <w:color w:val="000000"/>
      <w:sz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2C130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200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00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069"/>
    <w:rPr>
      <w:rFonts w:ascii="Arial" w:eastAsia="Arial" w:hAnsi="Arial" w:cs="Arial"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00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0069"/>
    <w:rPr>
      <w:rFonts w:ascii="Arial" w:eastAsia="Arial" w:hAnsi="Arial" w:cs="Arial"/>
      <w:b/>
      <w:bCs/>
      <w:color w:val="000000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publicas.gob.ec/ProcesoContratacion/compras/EP/BusquedaProveedorCpc.c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mpraspublicas.gob.ec/ProcesoContratacion/compras/PC/buscarProceso.cpe?sg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publicas.gob.ec/ProcesoContratacion/compras/EP/BusquedaProveedorCpc.c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885C-4A14-4898-89B3-8442FF5D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Montesdeoca Cabrera</dc:creator>
  <cp:keywords/>
  <dc:description/>
  <cp:lastModifiedBy>Maria del Carmen Montesdeoca Cabrera</cp:lastModifiedBy>
  <cp:revision>5</cp:revision>
  <dcterms:created xsi:type="dcterms:W3CDTF">2019-07-19T20:16:00Z</dcterms:created>
  <dcterms:modified xsi:type="dcterms:W3CDTF">2019-07-22T13:11:00Z</dcterms:modified>
</cp:coreProperties>
</file>