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913" w:rsidRPr="002C4ED8" w:rsidRDefault="00FA3913" w:rsidP="006B32A9">
      <w:pPr>
        <w:spacing w:after="0" w:line="240" w:lineRule="auto"/>
        <w:jc w:val="center"/>
        <w:rPr>
          <w:rFonts w:ascii="Times New Roman" w:hAnsi="Times New Roman"/>
          <w:b/>
          <w:caps/>
        </w:rPr>
      </w:pPr>
      <w:bookmarkStart w:id="0" w:name="_GoBack"/>
      <w:bookmarkEnd w:id="0"/>
      <w:r w:rsidRPr="002C4ED8">
        <w:rPr>
          <w:rFonts w:ascii="Times New Roman" w:hAnsi="Times New Roman"/>
          <w:b/>
          <w:caps/>
        </w:rPr>
        <w:t>ordenanza para la determinación, administración, control y recaudación del impuesto de patentes municipales</w:t>
      </w:r>
    </w:p>
    <w:p w:rsidR="00FA3913" w:rsidRPr="002C4ED8" w:rsidRDefault="00FA3913" w:rsidP="006B32A9">
      <w:pPr>
        <w:spacing w:after="0" w:line="240" w:lineRule="auto"/>
        <w:jc w:val="center"/>
        <w:rPr>
          <w:rFonts w:ascii="Times New Roman" w:hAnsi="Times New Roman"/>
          <w:b/>
          <w:bCs/>
          <w:color w:val="333333"/>
          <w:lang w:eastAsia="es-ES"/>
        </w:rPr>
      </w:pPr>
    </w:p>
    <w:p w:rsidR="00FA3913" w:rsidRPr="002C4ED8" w:rsidRDefault="00FA3913" w:rsidP="006B32A9">
      <w:pPr>
        <w:spacing w:after="0" w:line="240" w:lineRule="auto"/>
        <w:jc w:val="center"/>
        <w:rPr>
          <w:rFonts w:ascii="Times New Roman" w:hAnsi="Times New Roman"/>
          <w:color w:val="333333"/>
          <w:lang w:eastAsia="es-ES"/>
        </w:rPr>
      </w:pPr>
      <w:r w:rsidRPr="002C4ED8">
        <w:rPr>
          <w:rFonts w:ascii="Times New Roman" w:hAnsi="Times New Roman"/>
          <w:b/>
          <w:bCs/>
          <w:color w:val="333333"/>
          <w:lang w:eastAsia="es-ES"/>
        </w:rPr>
        <w:t>EL ILUSTRE CONCEJO CANTONAL DE CUENCA</w:t>
      </w: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w:t>
      </w:r>
    </w:p>
    <w:p w:rsidR="00FA3913" w:rsidRPr="002C4ED8" w:rsidRDefault="00FA3913" w:rsidP="006B32A9">
      <w:pPr>
        <w:spacing w:after="0" w:line="240" w:lineRule="auto"/>
        <w:jc w:val="center"/>
        <w:rPr>
          <w:rFonts w:ascii="Times New Roman" w:hAnsi="Times New Roman"/>
          <w:color w:val="333333"/>
          <w:lang w:eastAsia="es-ES"/>
        </w:rPr>
      </w:pPr>
      <w:r w:rsidRPr="002C4ED8">
        <w:rPr>
          <w:rFonts w:ascii="Times New Roman" w:hAnsi="Times New Roman"/>
          <w:b/>
          <w:bCs/>
          <w:color w:val="333333"/>
          <w:lang w:eastAsia="es-ES"/>
        </w:rPr>
        <w:t>Considerando:</w:t>
      </w: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w:t>
      </w:r>
    </w:p>
    <w:p w:rsidR="00FA3913" w:rsidRPr="002C4ED8" w:rsidRDefault="002B2CEF" w:rsidP="006B32A9">
      <w:pPr>
        <w:spacing w:after="0" w:line="240" w:lineRule="auto"/>
        <w:jc w:val="both"/>
        <w:rPr>
          <w:rFonts w:ascii="Times New Roman" w:hAnsi="Times New Roman"/>
          <w:lang w:eastAsia="es-ES"/>
        </w:rPr>
      </w:pPr>
      <w:r w:rsidRPr="002C4ED8">
        <w:rPr>
          <w:rFonts w:ascii="Times New Roman" w:hAnsi="Times New Roman"/>
          <w:lang w:eastAsia="es-ES"/>
        </w:rPr>
        <w:t xml:space="preserve">Que </w:t>
      </w:r>
      <w:r w:rsidR="00FA3913" w:rsidRPr="002C4ED8">
        <w:rPr>
          <w:rFonts w:ascii="Times New Roman" w:hAnsi="Times New Roman"/>
          <w:lang w:eastAsia="es-ES"/>
        </w:rPr>
        <w:t xml:space="preserve">la Constitución de la República del Ecuador en su artículo 238 y el Código Orgánico de Organización  Territorial Autonomía y Descentralización en sus artículos 1 y 5 consagran la autonomía de los gobiernos autónomos descentralizados; </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2B2CEF" w:rsidP="006B32A9">
      <w:pPr>
        <w:pStyle w:val="Prrafodelista1"/>
        <w:tabs>
          <w:tab w:val="num" w:pos="567"/>
        </w:tabs>
        <w:spacing w:line="240" w:lineRule="auto"/>
        <w:ind w:left="0"/>
        <w:jc w:val="both"/>
        <w:rPr>
          <w:rFonts w:ascii="Times New Roman" w:hAnsi="Times New Roman"/>
        </w:rPr>
      </w:pPr>
      <w:r w:rsidRPr="002C4ED8">
        <w:rPr>
          <w:rFonts w:ascii="Times New Roman" w:hAnsi="Times New Roman"/>
          <w:lang w:eastAsia="es-ES"/>
        </w:rPr>
        <w:t xml:space="preserve">Que </w:t>
      </w:r>
      <w:r w:rsidR="00FA3913" w:rsidRPr="002C4ED8">
        <w:rPr>
          <w:rFonts w:ascii="Times New Roman" w:hAnsi="Times New Roman"/>
          <w:lang w:eastAsia="es-ES"/>
        </w:rPr>
        <w:t xml:space="preserve">el artículo 57  literal b) del  Código Orgánico de Organización  Territorial Autonomía y Descentralización en </w:t>
      </w:r>
      <w:r w:rsidR="00FA3913" w:rsidRPr="002C4ED8">
        <w:rPr>
          <w:rFonts w:ascii="Times New Roman" w:hAnsi="Times New Roman"/>
        </w:rPr>
        <w:t xml:space="preserve">concordancia con el artículo 492 ibídem  </w:t>
      </w:r>
      <w:r w:rsidR="00FA3913" w:rsidRPr="002C4ED8">
        <w:rPr>
          <w:rFonts w:ascii="Times New Roman" w:hAnsi="Times New Roman"/>
          <w:lang w:eastAsia="es-ES"/>
        </w:rPr>
        <w:t xml:space="preserve">establece la facultad de los concejos municipales de  </w:t>
      </w:r>
      <w:r w:rsidR="00FA3913" w:rsidRPr="002C4ED8">
        <w:rPr>
          <w:rFonts w:ascii="Times New Roman" w:hAnsi="Times New Roman"/>
        </w:rPr>
        <w:t xml:space="preserve">regular, mediante ordenanza, la aplicación de tributos previstos en la ley a su favor; </w:t>
      </w:r>
    </w:p>
    <w:p w:rsidR="00FA3913" w:rsidRPr="002C4ED8" w:rsidRDefault="002B2CEF" w:rsidP="006B32A9">
      <w:pPr>
        <w:spacing w:after="0" w:line="240" w:lineRule="auto"/>
        <w:jc w:val="both"/>
        <w:rPr>
          <w:rFonts w:ascii="Times New Roman" w:hAnsi="Times New Roman"/>
        </w:rPr>
      </w:pPr>
      <w:r w:rsidRPr="002C4ED8">
        <w:rPr>
          <w:rFonts w:ascii="Times New Roman" w:hAnsi="Times New Roman"/>
          <w:lang w:val="es-ES_tradnl"/>
        </w:rPr>
        <w:t>Que</w:t>
      </w:r>
      <w:r w:rsidR="006B32A9" w:rsidRPr="002C4ED8">
        <w:rPr>
          <w:rFonts w:ascii="Times New Roman" w:hAnsi="Times New Roman"/>
          <w:lang w:val="es-ES_tradnl"/>
        </w:rPr>
        <w:t xml:space="preserve"> </w:t>
      </w:r>
      <w:r w:rsidR="00FA3913" w:rsidRPr="002C4ED8">
        <w:rPr>
          <w:rFonts w:ascii="Times New Roman" w:hAnsi="Times New Roman"/>
          <w:lang w:val="es-ES_tradnl"/>
        </w:rPr>
        <w:t xml:space="preserve">el artículo  172 </w:t>
      </w:r>
      <w:r w:rsidR="00FA3913" w:rsidRPr="002C4ED8">
        <w:rPr>
          <w:rFonts w:ascii="Times New Roman" w:hAnsi="Times New Roman"/>
          <w:lang w:eastAsia="es-ES"/>
        </w:rPr>
        <w:t xml:space="preserve">del  Código Orgánico de Organización  Territorial Autonomía y Descentralización en concordancia con el artículo 300 de la Constitución de la República del Ecuador señala que la </w:t>
      </w:r>
      <w:r w:rsidR="00FA3913" w:rsidRPr="002C4ED8">
        <w:rPr>
          <w:rFonts w:ascii="Times New Roman" w:hAnsi="Times New Roman"/>
        </w:rPr>
        <w:t xml:space="preserve"> aplicación tributaria se guiará por los principios de generalidad, progresividad, eficiencia, simplicidad administrativa, irretroactividad, transparencia y suficiencia recaudatoria;</w:t>
      </w:r>
    </w:p>
    <w:p w:rsidR="00FA3913" w:rsidRPr="002C4ED8" w:rsidRDefault="00FA3913" w:rsidP="006B32A9">
      <w:pPr>
        <w:spacing w:after="0" w:line="240" w:lineRule="auto"/>
        <w:jc w:val="both"/>
        <w:rPr>
          <w:rFonts w:ascii="Times New Roman" w:hAnsi="Times New Roman"/>
        </w:rPr>
      </w:pPr>
    </w:p>
    <w:p w:rsidR="00FA3913" w:rsidRPr="002C4ED8" w:rsidRDefault="002B2CEF" w:rsidP="006B32A9">
      <w:pPr>
        <w:spacing w:after="0" w:line="240" w:lineRule="auto"/>
        <w:jc w:val="both"/>
        <w:rPr>
          <w:rFonts w:ascii="Times New Roman" w:hAnsi="Times New Roman"/>
          <w:lang w:val="es-ES_tradnl"/>
        </w:rPr>
      </w:pPr>
      <w:r w:rsidRPr="002C4ED8">
        <w:rPr>
          <w:rFonts w:ascii="Times New Roman" w:hAnsi="Times New Roman"/>
          <w:lang w:val="es-ES_tradnl"/>
        </w:rPr>
        <w:t xml:space="preserve">Que </w:t>
      </w:r>
      <w:r w:rsidR="00FA3913" w:rsidRPr="002C4ED8">
        <w:rPr>
          <w:rFonts w:ascii="Times New Roman" w:hAnsi="Times New Roman"/>
          <w:lang w:val="es-ES_tradnl"/>
        </w:rPr>
        <w:t>el artículo 546 del  Código Orgánico de Organización  Territorial Autonomía y Descentralización establece el  I</w:t>
      </w:r>
      <w:r w:rsidR="001B09B2">
        <w:rPr>
          <w:rFonts w:ascii="Times New Roman" w:hAnsi="Times New Roman"/>
          <w:lang w:val="es-ES_tradnl"/>
        </w:rPr>
        <w:t>mpuesto de Patentes Municipales;</w:t>
      </w:r>
      <w:r w:rsidR="00FA3913" w:rsidRPr="002C4ED8">
        <w:rPr>
          <w:rFonts w:ascii="Times New Roman" w:hAnsi="Times New Roman"/>
          <w:lang w:val="es-ES_tradnl"/>
        </w:rPr>
        <w:t xml:space="preserve"> </w:t>
      </w:r>
    </w:p>
    <w:p w:rsidR="00FA3913" w:rsidRPr="002C4ED8" w:rsidRDefault="00FA3913" w:rsidP="006B32A9">
      <w:pPr>
        <w:spacing w:after="0" w:line="240" w:lineRule="auto"/>
        <w:jc w:val="both"/>
        <w:rPr>
          <w:rFonts w:ascii="Times New Roman" w:hAnsi="Times New Roman"/>
          <w:lang w:val="es-ES_tradnl"/>
        </w:rPr>
      </w:pPr>
    </w:p>
    <w:p w:rsidR="00FA3913" w:rsidRPr="002C4ED8" w:rsidRDefault="002B2CEF" w:rsidP="006B32A9">
      <w:pPr>
        <w:spacing w:after="0" w:line="240" w:lineRule="auto"/>
        <w:jc w:val="both"/>
        <w:rPr>
          <w:rFonts w:ascii="Times New Roman" w:hAnsi="Times New Roman"/>
        </w:rPr>
      </w:pPr>
      <w:r w:rsidRPr="002C4ED8">
        <w:rPr>
          <w:rFonts w:ascii="Times New Roman" w:hAnsi="Times New Roman"/>
        </w:rPr>
        <w:t xml:space="preserve">Que </w:t>
      </w:r>
      <w:r w:rsidR="00FA3913" w:rsidRPr="002C4ED8">
        <w:rPr>
          <w:rFonts w:ascii="Times New Roman" w:hAnsi="Times New Roman"/>
        </w:rPr>
        <w:t xml:space="preserve">los gobiernos descentralizados autónomos están llamados a fortalecer su capacidad fiscal; a fin de disponer de mayores recursos económicos para  la ejecución de obras y prestación de servicios públicos que promuevan el desarrollo integral del cantón; </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rPr>
        <w:t>En uso de sus atribuciones y facultades, expide:</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center"/>
        <w:rPr>
          <w:rFonts w:ascii="Times New Roman" w:hAnsi="Times New Roman"/>
          <w:b/>
          <w:bCs/>
          <w:caps/>
          <w:lang w:eastAsia="es-ES"/>
        </w:rPr>
      </w:pPr>
      <w:r w:rsidRPr="002C4ED8">
        <w:rPr>
          <w:rFonts w:ascii="Times New Roman" w:hAnsi="Times New Roman"/>
          <w:b/>
          <w:bCs/>
          <w:caps/>
          <w:lang w:eastAsia="es-ES"/>
        </w:rPr>
        <w:t>La ordenanza  para la determinación, ADMINISTRACION, control y recaudación del impuesto de patentes municipales en el cantón Cuenca</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b/>
          <w:color w:val="333333"/>
          <w:lang w:eastAsia="es-ES"/>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I</w:t>
      </w: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HECHO IMPONIBLE Y SUJETOS DEL IMPUESTO</w:t>
      </w:r>
    </w:p>
    <w:p w:rsidR="00FA3913" w:rsidRPr="002C4ED8" w:rsidRDefault="00FA3913" w:rsidP="006B32A9">
      <w:pPr>
        <w:spacing w:after="0" w:line="240" w:lineRule="auto"/>
        <w:jc w:val="both"/>
        <w:rPr>
          <w:rFonts w:ascii="Times New Roman" w:hAnsi="Times New Roman"/>
          <w:b/>
          <w:color w:val="FF0000"/>
          <w:u w:val="single"/>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lang w:eastAsia="es-ES"/>
        </w:rPr>
        <w:t>Art. 1.- SUJETO ACTIVO.-</w:t>
      </w:r>
      <w:r w:rsidRPr="002C4ED8">
        <w:rPr>
          <w:rFonts w:ascii="Times New Roman" w:hAnsi="Times New Roman"/>
          <w:b/>
          <w:bCs/>
          <w:color w:val="333333"/>
          <w:lang w:eastAsia="es-ES"/>
        </w:rPr>
        <w:t xml:space="preserve"> </w:t>
      </w:r>
      <w:r w:rsidRPr="002C4ED8">
        <w:rPr>
          <w:rFonts w:ascii="Times New Roman" w:hAnsi="Times New Roman"/>
        </w:rPr>
        <w:t>El sujeto activo de este impuesto  es la Municipalidad del Cantón Cuenca. La determinación, administración, control; y recaudación de este impuesto lo hará la Dirección Financiera Municipal, a través  de la Unidad de Rentas y Tributación; y</w:t>
      </w:r>
      <w:r w:rsidR="002B2CEF" w:rsidRPr="002C4ED8">
        <w:rPr>
          <w:rFonts w:ascii="Times New Roman" w:hAnsi="Times New Roman"/>
        </w:rPr>
        <w:t>,</w:t>
      </w:r>
      <w:r w:rsidRPr="002C4ED8">
        <w:rPr>
          <w:rFonts w:ascii="Times New Roman" w:hAnsi="Times New Roman"/>
        </w:rPr>
        <w:t xml:space="preserve"> Tesorería Municipal.</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color w:val="FF0000"/>
          <w:lang w:eastAsia="es-ES"/>
        </w:rPr>
      </w:pPr>
      <w:r w:rsidRPr="002C4ED8">
        <w:rPr>
          <w:rFonts w:ascii="Times New Roman" w:hAnsi="Times New Roman"/>
          <w:color w:val="333333"/>
          <w:lang w:eastAsia="es-ES"/>
        </w:rPr>
        <w:t> </w:t>
      </w:r>
      <w:r w:rsidRPr="002C4ED8">
        <w:rPr>
          <w:rFonts w:ascii="Times New Roman" w:hAnsi="Times New Roman"/>
          <w:b/>
          <w:bCs/>
          <w:lang w:eastAsia="es-ES"/>
        </w:rPr>
        <w:t>Art. 2.- SUJETO PASIVO.-</w:t>
      </w:r>
      <w:r w:rsidRPr="002C4ED8">
        <w:rPr>
          <w:rFonts w:ascii="Times New Roman" w:hAnsi="Times New Roman"/>
          <w:lang w:eastAsia="es-ES"/>
        </w:rPr>
        <w:t xml:space="preserve"> </w:t>
      </w:r>
      <w:r w:rsidRPr="002C4ED8">
        <w:rPr>
          <w:rFonts w:ascii="Times New Roman" w:hAnsi="Times New Roman"/>
        </w:rPr>
        <w:t>Están obligados a obtener la patente y, por ende, la declaración y el pago anual del impuesto, las personas naturales, jurídicas, sociedades, nacionales o extranjeras, domiciliadas o con establecimiento en el cantón Cuenca, que ejerzan permanentemente actividades comerciales, industriales, financieras, inmobiliarias y profesionales</w:t>
      </w:r>
      <w:r w:rsidRPr="002C4ED8">
        <w:rPr>
          <w:rFonts w:ascii="Times New Roman" w:hAnsi="Times New Roman"/>
          <w:lang w:eastAsia="es-ES"/>
        </w:rPr>
        <w:t xml:space="preserve">. </w:t>
      </w:r>
      <w:r w:rsidRPr="002C4ED8">
        <w:rPr>
          <w:rFonts w:ascii="Times New Roman" w:hAnsi="Times New Roman"/>
        </w:rPr>
        <w:t>Para la definición de establecimiento permanente de empresas extranjeras se aplicará lo establecido en el Reglamento para la Aplicación de la Ley Orgánica de Régimen Tributario Interno.</w:t>
      </w:r>
      <w:r w:rsidRPr="002C4ED8">
        <w:rPr>
          <w:rFonts w:ascii="Times New Roman" w:hAnsi="Times New Roman"/>
          <w:color w:val="FF0000"/>
          <w:lang w:eastAsia="es-ES"/>
        </w:rPr>
        <w:t xml:space="preserve"> </w:t>
      </w:r>
    </w:p>
    <w:p w:rsidR="00FA3913" w:rsidRPr="002C4ED8" w:rsidRDefault="00FA3913" w:rsidP="006B32A9">
      <w:pPr>
        <w:spacing w:after="0" w:line="240" w:lineRule="auto"/>
        <w:jc w:val="both"/>
        <w:rPr>
          <w:rFonts w:ascii="Times New Roman" w:hAnsi="Times New Roman"/>
          <w:color w:val="FF0000"/>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lang w:eastAsia="es-ES"/>
        </w:rPr>
        <w:t xml:space="preserve">Art. 3.- HECHO GENERADOR.-  </w:t>
      </w:r>
      <w:r w:rsidRPr="002C4ED8">
        <w:rPr>
          <w:rFonts w:ascii="Times New Roman" w:hAnsi="Times New Roman"/>
        </w:rPr>
        <w:t>El hecho generador del impuesto de patente es el ejercicio permanente de  actividades comerciales, industriales, financieras, inmobiliarias y profesionales, dentro del cantón Cuenca, entendiéndose por permanente a la realización de la actividad por más de sesenta días dentro de un ejercicio fiscal.</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b/>
          <w:color w:val="333333"/>
          <w:lang w:eastAsia="es-ES"/>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II</w:t>
      </w: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INSCRIPCIÓN Y ACTUALIZACIÓN DE INFORMACIÓN EN EL REGISTRO DE PATENTES</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color w:val="333333"/>
          <w:lang w:eastAsia="es-ES"/>
        </w:rPr>
        <w:t xml:space="preserve">Art. 4.-  INSCRIPCIÓN EN EL REGISTRO DE PATENTES.- </w:t>
      </w:r>
      <w:r w:rsidRPr="002C4ED8">
        <w:rPr>
          <w:rFonts w:ascii="Times New Roman" w:hAnsi="Times New Roman"/>
          <w:color w:val="333333"/>
          <w:lang w:eastAsia="es-ES"/>
        </w:rPr>
        <w:t>Todas</w:t>
      </w:r>
      <w:r w:rsidRPr="002C4ED8">
        <w:rPr>
          <w:rFonts w:ascii="Times New Roman" w:hAnsi="Times New Roman"/>
          <w:b/>
          <w:color w:val="333333"/>
          <w:lang w:eastAsia="es-ES"/>
        </w:rPr>
        <w:t xml:space="preserve"> </w:t>
      </w:r>
      <w:r w:rsidRPr="002C4ED8">
        <w:rPr>
          <w:rFonts w:ascii="Times New Roman" w:hAnsi="Times New Roman"/>
        </w:rPr>
        <w:t>las personas naturales, jurídicas, sociedades, nacionales o extranjeras, domiciliadas o con establecimiento en el cantón Cuenca, que inicien o realicen actividades económicas de forma permanente, están obligadas a  inscribirse por una sola vez dentro de los treinta días siguientes al día final del mes en el que se inician esas actividades, en el Registro de Patente que la Unidad de Rentas y Tributación mantiene para el efecto.</w:t>
      </w: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rPr>
        <w:t xml:space="preserve"> </w:t>
      </w: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b/>
          <w:color w:val="333333"/>
          <w:lang w:eastAsia="es-ES"/>
        </w:rPr>
        <w:t xml:space="preserve">Art. 5.-  DE LA ACTUALIZACIÓN DE LA INFORMACIÓN.-   </w:t>
      </w:r>
      <w:r w:rsidRPr="002C4ED8">
        <w:rPr>
          <w:rFonts w:ascii="Times New Roman" w:hAnsi="Times New Roman"/>
          <w:color w:val="333333"/>
          <w:lang w:eastAsia="es-ES"/>
        </w:rPr>
        <w:t>Están obligados a comunicar y actualizar en la Unidad de Rentas y Tributación cualquier cambio de información del sujeto pasivo dentro del plazo de treinta días transcurridos los siguientes hechos:</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lang w:eastAsia="es-ES"/>
        </w:rPr>
        <w:t xml:space="preserve">Cambio </w:t>
      </w:r>
      <w:r w:rsidRPr="002C4ED8">
        <w:rPr>
          <w:rFonts w:ascii="Times New Roman" w:hAnsi="Times New Roman"/>
          <w:color w:val="333333"/>
          <w:lang w:eastAsia="es-ES"/>
        </w:rPr>
        <w:t>de denominación o razón social;</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lang w:eastAsia="es-ES"/>
        </w:rPr>
        <w:t>Cambio</w:t>
      </w:r>
      <w:r w:rsidRPr="002C4ED8">
        <w:rPr>
          <w:rFonts w:ascii="Times New Roman" w:hAnsi="Times New Roman"/>
          <w:color w:val="333333"/>
          <w:lang w:eastAsia="es-ES"/>
        </w:rPr>
        <w:t xml:space="preserve"> de actividad  económica;</w:t>
      </w:r>
    </w:p>
    <w:p w:rsidR="00FA3913" w:rsidRPr="002C4ED8" w:rsidRDefault="00FA3913" w:rsidP="006B32A9">
      <w:pPr>
        <w:numPr>
          <w:ilvl w:val="0"/>
          <w:numId w:val="1"/>
        </w:numPr>
        <w:spacing w:after="0" w:line="240" w:lineRule="auto"/>
        <w:jc w:val="both"/>
        <w:rPr>
          <w:rFonts w:ascii="Times New Roman" w:hAnsi="Times New Roman"/>
          <w:color w:val="FF0000"/>
          <w:lang w:eastAsia="es-ES"/>
        </w:rPr>
      </w:pPr>
      <w:r w:rsidRPr="002C4ED8">
        <w:rPr>
          <w:rFonts w:ascii="Times New Roman" w:hAnsi="Times New Roman"/>
          <w:lang w:eastAsia="es-ES"/>
        </w:rPr>
        <w:t>Variación del Patrimonio</w:t>
      </w:r>
      <w:r w:rsidRPr="002C4ED8">
        <w:rPr>
          <w:rFonts w:ascii="Times New Roman" w:hAnsi="Times New Roman"/>
          <w:color w:val="FF0000"/>
          <w:lang w:eastAsia="es-ES"/>
        </w:rPr>
        <w:t>;</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lang w:eastAsia="es-ES"/>
        </w:rPr>
        <w:t>Cambio</w:t>
      </w:r>
      <w:r w:rsidRPr="002C4ED8">
        <w:rPr>
          <w:rFonts w:ascii="Times New Roman" w:hAnsi="Times New Roman"/>
          <w:color w:val="333333"/>
          <w:lang w:eastAsia="es-ES"/>
        </w:rPr>
        <w:t xml:space="preserve"> de domicilio;</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Transferencia de la actividad o derechos a cualquier título;</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Suspensión temporal de la actividad;</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lang w:eastAsia="es-ES"/>
        </w:rPr>
        <w:t>Cese</w:t>
      </w:r>
      <w:r w:rsidRPr="002C4ED8">
        <w:rPr>
          <w:rFonts w:ascii="Times New Roman" w:hAnsi="Times New Roman"/>
          <w:b/>
          <w:color w:val="00B0F0"/>
          <w:lang w:eastAsia="es-ES"/>
        </w:rPr>
        <w:t xml:space="preserve"> </w:t>
      </w:r>
      <w:r w:rsidRPr="002C4ED8">
        <w:rPr>
          <w:rFonts w:ascii="Times New Roman" w:hAnsi="Times New Roman"/>
          <w:color w:val="333333"/>
          <w:lang w:eastAsia="es-ES"/>
        </w:rPr>
        <w:t>definitivo de la actividad;</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Inactividad de la sociedad por proceso de disolución o liquidación. </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Cambio de representante legal;</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La obtención o extinción de la calificación de artesano; </w:t>
      </w:r>
    </w:p>
    <w:p w:rsidR="00FA3913" w:rsidRPr="002C4ED8" w:rsidRDefault="00FA3913" w:rsidP="006B32A9">
      <w:pPr>
        <w:numPr>
          <w:ilvl w:val="0"/>
          <w:numId w:val="1"/>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Cualquier otra modificación que se produjeren respecto de los datos consignados en la inscripción. </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ind w:firstLine="644"/>
        <w:jc w:val="center"/>
        <w:rPr>
          <w:rFonts w:ascii="Times New Roman" w:hAnsi="Times New Roman"/>
          <w:b/>
          <w:color w:val="333333"/>
          <w:lang w:eastAsia="es-ES"/>
        </w:rPr>
      </w:pPr>
      <w:r w:rsidRPr="002C4ED8">
        <w:rPr>
          <w:rFonts w:ascii="Times New Roman" w:hAnsi="Times New Roman"/>
          <w:b/>
          <w:color w:val="333333"/>
          <w:lang w:eastAsia="es-ES"/>
        </w:rPr>
        <w:t>CAPITULO III</w:t>
      </w:r>
    </w:p>
    <w:p w:rsidR="00FA3913" w:rsidRPr="002C4ED8" w:rsidRDefault="00FA3913" w:rsidP="006B32A9">
      <w:pPr>
        <w:spacing w:after="0" w:line="240" w:lineRule="auto"/>
        <w:jc w:val="center"/>
        <w:rPr>
          <w:rFonts w:ascii="Times New Roman" w:hAnsi="Times New Roman"/>
          <w:color w:val="333333"/>
          <w:lang w:eastAsia="es-ES"/>
        </w:rPr>
      </w:pPr>
      <w:r w:rsidRPr="002C4ED8">
        <w:rPr>
          <w:rFonts w:ascii="Times New Roman" w:hAnsi="Times New Roman"/>
          <w:b/>
          <w:color w:val="333333"/>
          <w:lang w:eastAsia="es-ES"/>
        </w:rPr>
        <w:t>ELEMENTOS  PARA LA LIQUIDACIÓN DEL IMPUESTO</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color w:val="333333"/>
          <w:lang w:eastAsia="es-ES"/>
        </w:rPr>
        <w:t> </w:t>
      </w:r>
      <w:r w:rsidRPr="002C4ED8">
        <w:rPr>
          <w:rFonts w:ascii="Times New Roman" w:hAnsi="Times New Roman"/>
          <w:b/>
          <w:bCs/>
          <w:color w:val="333333"/>
          <w:lang w:eastAsia="es-ES"/>
        </w:rPr>
        <w:t xml:space="preserve">Art. 6.- EJERCICIO IMPOSITIVO.- </w:t>
      </w:r>
      <w:r w:rsidRPr="002C4ED8">
        <w:rPr>
          <w:rFonts w:ascii="Times New Roman" w:hAnsi="Times New Roman"/>
        </w:rPr>
        <w:t xml:space="preserve">El ejercicio impositivo es anual y va desde el periodo comprendido entre el 01 de enero al 31 de diciembre. </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tabs>
          <w:tab w:val="left" w:pos="0"/>
          <w:tab w:val="left" w:pos="621"/>
          <w:tab w:val="left" w:pos="1083"/>
          <w:tab w:val="left" w:pos="1329"/>
          <w:tab w:val="left" w:pos="2037"/>
        </w:tabs>
        <w:spacing w:after="0" w:line="240" w:lineRule="auto"/>
        <w:jc w:val="both"/>
        <w:rPr>
          <w:rFonts w:ascii="Times New Roman" w:hAnsi="Times New Roman"/>
          <w:color w:val="000000"/>
        </w:rPr>
      </w:pPr>
      <w:r w:rsidRPr="002C4ED8">
        <w:rPr>
          <w:rFonts w:ascii="Times New Roman" w:hAnsi="Times New Roman"/>
          <w:b/>
          <w:bCs/>
          <w:color w:val="333333"/>
          <w:lang w:eastAsia="es-ES"/>
        </w:rPr>
        <w:t xml:space="preserve">Art. 7.- BASE IMPONIBLE.-   </w:t>
      </w:r>
      <w:r w:rsidRPr="002C4ED8">
        <w:rPr>
          <w:rFonts w:ascii="Times New Roman" w:hAnsi="Times New Roman"/>
          <w:color w:val="000000"/>
        </w:rPr>
        <w:t xml:space="preserve">La determinación de la base  imponible del impuesto </w:t>
      </w:r>
      <w:r w:rsidRPr="002C4ED8">
        <w:rPr>
          <w:rFonts w:ascii="Times New Roman" w:hAnsi="Times New Roman"/>
        </w:rPr>
        <w:t>será:</w:t>
      </w:r>
      <w:r w:rsidRPr="002C4ED8">
        <w:rPr>
          <w:rFonts w:ascii="Times New Roman" w:hAnsi="Times New Roman"/>
          <w:color w:val="000000"/>
        </w:rPr>
        <w:t xml:space="preserve">  </w:t>
      </w:r>
    </w:p>
    <w:p w:rsidR="002B2CEF" w:rsidRPr="002C4ED8" w:rsidRDefault="002B2CEF" w:rsidP="006B32A9">
      <w:pPr>
        <w:tabs>
          <w:tab w:val="left" w:pos="0"/>
          <w:tab w:val="left" w:pos="621"/>
          <w:tab w:val="left" w:pos="1083"/>
          <w:tab w:val="left" w:pos="1329"/>
          <w:tab w:val="left" w:pos="2037"/>
        </w:tabs>
        <w:spacing w:after="0" w:line="240" w:lineRule="auto"/>
        <w:jc w:val="both"/>
        <w:rPr>
          <w:rFonts w:ascii="Times New Roman" w:hAnsi="Times New Roman"/>
          <w:color w:val="000000"/>
        </w:rPr>
      </w:pP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462"/>
        <w:jc w:val="both"/>
        <w:rPr>
          <w:rFonts w:ascii="Times New Roman" w:hAnsi="Times New Roman"/>
          <w:color w:val="000000"/>
        </w:rPr>
      </w:pPr>
      <w:r w:rsidRPr="002C4ED8">
        <w:rPr>
          <w:rFonts w:ascii="Times New Roman" w:hAnsi="Times New Roman"/>
          <w:color w:val="000000"/>
        </w:rPr>
        <w:t xml:space="preserve">a). Para las personas naturales que no estén obligados a llevar contabilidad, la base imponible del impuesto será el total del patrimonio referente a la actividad económica, registrado en el Catastro de Patentes,  que para tal efecto, llevará la Jefatura de Rentas </w:t>
      </w:r>
      <w:r w:rsidRPr="002C4ED8">
        <w:rPr>
          <w:rFonts w:ascii="Times New Roman" w:hAnsi="Times New Roman"/>
        </w:rPr>
        <w:t>y Tributación</w:t>
      </w:r>
      <w:r w:rsidRPr="002C4ED8">
        <w:rPr>
          <w:rFonts w:ascii="Times New Roman" w:hAnsi="Times New Roman"/>
          <w:b/>
          <w:color w:val="FF0000"/>
        </w:rPr>
        <w:t xml:space="preserve"> </w:t>
      </w:r>
      <w:r w:rsidRPr="002C4ED8">
        <w:rPr>
          <w:rFonts w:ascii="Times New Roman" w:hAnsi="Times New Roman"/>
          <w:color w:val="000000"/>
        </w:rPr>
        <w:t>de la I. Municipalidad, sujeto a revisión y actualización correspondiente;</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462"/>
        <w:jc w:val="both"/>
        <w:rPr>
          <w:rFonts w:ascii="Times New Roman" w:hAnsi="Times New Roman"/>
          <w:color w:val="000000"/>
        </w:rPr>
      </w:pPr>
      <w:r w:rsidRPr="002C4ED8">
        <w:rPr>
          <w:rFonts w:ascii="Times New Roman" w:hAnsi="Times New Roman"/>
          <w:color w:val="000000"/>
        </w:rPr>
        <w:t xml:space="preserve">b). </w:t>
      </w:r>
      <w:r w:rsidRPr="002C4ED8">
        <w:rPr>
          <w:rFonts w:ascii="Times New Roman" w:hAnsi="Times New Roman"/>
          <w:color w:val="000000"/>
        </w:rPr>
        <w:tab/>
        <w:t xml:space="preserve">Para las personas naturales o jurídicas y  sociedades de hecho, que estén obligadas a llevar contabilidad, con excepción de bancos y financieras, la base del impuesto será el </w:t>
      </w:r>
      <w:r w:rsidRPr="002C4ED8">
        <w:rPr>
          <w:rFonts w:ascii="Times New Roman" w:hAnsi="Times New Roman"/>
          <w:color w:val="000000"/>
        </w:rPr>
        <w:lastRenderedPageBreak/>
        <w:t xml:space="preserve">patrimonio neto del año inmediato anterior;  a cuyo efecto deberán declarar en los formularios, </w:t>
      </w:r>
      <w:r w:rsidRPr="002C4ED8">
        <w:rPr>
          <w:rFonts w:ascii="Times New Roman" w:hAnsi="Times New Roman"/>
        </w:rPr>
        <w:t>canales o medios</w:t>
      </w:r>
      <w:r w:rsidRPr="002C4ED8">
        <w:rPr>
          <w:rFonts w:ascii="Times New Roman" w:hAnsi="Times New Roman"/>
          <w:color w:val="000000"/>
        </w:rPr>
        <w:t xml:space="preserve"> electrónicos que la Municipalidad disponga; </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462"/>
        <w:jc w:val="both"/>
        <w:rPr>
          <w:rFonts w:ascii="Times New Roman" w:hAnsi="Times New Roman"/>
          <w:color w:val="000000"/>
        </w:rPr>
      </w:pPr>
      <w:r w:rsidRPr="002C4ED8">
        <w:rPr>
          <w:rFonts w:ascii="Times New Roman" w:hAnsi="Times New Roman"/>
          <w:color w:val="000000"/>
        </w:rPr>
        <w:t xml:space="preserve">c).  Para las personas naturales o jurídicas, sociedades de hecho o negocios individuales con excepción de bancos y financieras, que tengan sus casas matrices en el cantón Cuenca y sucursal o agencias en otros lugares del país; y también para las sucursales o agencias que funcionen en el cantón con casas matrices en otros cantones; </w:t>
      </w:r>
      <w:r w:rsidRPr="002C4ED8">
        <w:rPr>
          <w:rFonts w:ascii="Times New Roman" w:hAnsi="Times New Roman"/>
        </w:rPr>
        <w:t>la base imponible será la parte proporcional del patrimonio neto en función de los ingresos obtenidos en este cantón</w:t>
      </w:r>
      <w:r w:rsidRPr="002C4ED8">
        <w:rPr>
          <w:rFonts w:ascii="Times New Roman" w:hAnsi="Times New Roman"/>
          <w:color w:val="000000"/>
        </w:rPr>
        <w:t xml:space="preserve">; a cuyo efecto deberán declarar en los formularios, </w:t>
      </w:r>
      <w:r w:rsidRPr="002C4ED8">
        <w:rPr>
          <w:rFonts w:ascii="Times New Roman" w:hAnsi="Times New Roman"/>
        </w:rPr>
        <w:t>canales o medios</w:t>
      </w:r>
      <w:r w:rsidRPr="002C4ED8">
        <w:rPr>
          <w:rFonts w:ascii="Times New Roman" w:hAnsi="Times New Roman"/>
          <w:color w:val="000000"/>
        </w:rPr>
        <w:t xml:space="preserve">  electrónicos que la Municipalidad disponga; y,</w:t>
      </w:r>
    </w:p>
    <w:p w:rsidR="00FA3913" w:rsidRPr="002C4ED8" w:rsidRDefault="00FA3913" w:rsidP="006B32A9">
      <w:pPr>
        <w:tabs>
          <w:tab w:val="left" w:pos="621"/>
          <w:tab w:val="left" w:pos="1047"/>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1083"/>
        <w:jc w:val="both"/>
        <w:rPr>
          <w:rFonts w:ascii="Times New Roman" w:hAnsi="Times New Roman"/>
          <w:b/>
          <w:color w:val="000000"/>
        </w:rPr>
      </w:pPr>
      <w:r w:rsidRPr="002C4ED8">
        <w:rPr>
          <w:rFonts w:ascii="Times New Roman" w:hAnsi="Times New Roman"/>
          <w:color w:val="000000"/>
        </w:rPr>
        <w:tab/>
        <w:t xml:space="preserve">d).  </w:t>
      </w:r>
      <w:r w:rsidRPr="002C4ED8">
        <w:rPr>
          <w:rFonts w:ascii="Times New Roman" w:hAnsi="Times New Roman"/>
          <w:color w:val="000000"/>
        </w:rPr>
        <w:tab/>
      </w:r>
      <w:r w:rsidRPr="002C4ED8">
        <w:rPr>
          <w:rFonts w:ascii="Times New Roman" w:hAnsi="Times New Roman"/>
          <w:color w:val="000000"/>
        </w:rPr>
        <w:tab/>
        <w:t xml:space="preserve">Para los bancos, cooperativas y demás entidades financieras, sean matrices o sucursales, para la base imponible, se tomara como patrimonio el saldo de su cartera local, al 31 de diciembre del año inmediato anterior, según el informe presentado a la Superintendencia de Bancos; a cuyo efecto deberán declarar en los formularios, </w:t>
      </w:r>
      <w:r w:rsidRPr="002C4ED8">
        <w:rPr>
          <w:rFonts w:ascii="Times New Roman" w:hAnsi="Times New Roman"/>
        </w:rPr>
        <w:t>canales o medios</w:t>
      </w:r>
      <w:r w:rsidRPr="002C4ED8">
        <w:rPr>
          <w:rFonts w:ascii="Times New Roman" w:hAnsi="Times New Roman"/>
          <w:color w:val="000000"/>
        </w:rPr>
        <w:t xml:space="preserve"> electrónicos que la Municipalidad disponga</w:t>
      </w:r>
      <w:r w:rsidRPr="002C4ED8">
        <w:rPr>
          <w:rFonts w:ascii="Times New Roman" w:hAnsi="Times New Roman"/>
          <w:b/>
          <w:color w:val="000000"/>
        </w:rPr>
        <w:t>.</w:t>
      </w:r>
    </w:p>
    <w:p w:rsidR="00FA3913" w:rsidRPr="002C4ED8" w:rsidRDefault="00FA3913" w:rsidP="006B32A9">
      <w:pPr>
        <w:spacing w:after="0" w:line="240" w:lineRule="auto"/>
        <w:jc w:val="both"/>
        <w:rPr>
          <w:rFonts w:ascii="Times New Roman" w:hAnsi="Times New Roman"/>
          <w:color w:val="000000"/>
        </w:rPr>
      </w:pPr>
      <w:r w:rsidRPr="002C4ED8">
        <w:rPr>
          <w:rFonts w:ascii="Times New Roman" w:hAnsi="Times New Roman"/>
          <w:b/>
          <w:bCs/>
          <w:color w:val="333333"/>
          <w:lang w:eastAsia="es-ES"/>
        </w:rPr>
        <w:t xml:space="preserve">Art. 8.- TARIFA.-  </w:t>
      </w:r>
      <w:r w:rsidRPr="002C4ED8">
        <w:rPr>
          <w:rFonts w:ascii="Times New Roman" w:hAnsi="Times New Roman"/>
          <w:color w:val="000000"/>
        </w:rPr>
        <w:t>Para determinar el impuesto de patentes municipales, se aplicará a la base imponible las tarifas contenidas en la siguiente tabla:</w:t>
      </w:r>
    </w:p>
    <w:p w:rsidR="00FA3913" w:rsidRPr="002C4ED8" w:rsidRDefault="00FA3913" w:rsidP="006B32A9">
      <w:pPr>
        <w:spacing w:after="0" w:line="240" w:lineRule="auto"/>
        <w:jc w:val="both"/>
        <w:rPr>
          <w:rFonts w:ascii="Times New Roman" w:hAnsi="Times New Roman"/>
          <w:color w:val="000000"/>
        </w:rPr>
      </w:pPr>
    </w:p>
    <w:tbl>
      <w:tblPr>
        <w:tblW w:w="5720" w:type="dxa"/>
        <w:jc w:val="center"/>
        <w:tblInd w:w="55" w:type="dxa"/>
        <w:tblCellMar>
          <w:left w:w="70" w:type="dxa"/>
          <w:right w:w="70" w:type="dxa"/>
        </w:tblCellMar>
        <w:tblLook w:val="04A0" w:firstRow="1" w:lastRow="0" w:firstColumn="1" w:lastColumn="0" w:noHBand="0" w:noVBand="1"/>
      </w:tblPr>
      <w:tblGrid>
        <w:gridCol w:w="1386"/>
        <w:gridCol w:w="1326"/>
        <w:gridCol w:w="1556"/>
        <w:gridCol w:w="1452"/>
      </w:tblGrid>
      <w:tr w:rsidR="00FA3913" w:rsidRPr="002C4ED8" w:rsidTr="00FA3913">
        <w:trPr>
          <w:trHeight w:val="300"/>
          <w:jc w:val="center"/>
        </w:trPr>
        <w:tc>
          <w:tcPr>
            <w:tcW w:w="5720" w:type="dxa"/>
            <w:gridSpan w:val="4"/>
            <w:tcBorders>
              <w:top w:val="single" w:sz="4" w:space="0" w:color="auto"/>
              <w:left w:val="single" w:sz="4" w:space="0" w:color="auto"/>
              <w:bottom w:val="single" w:sz="4" w:space="0" w:color="auto"/>
              <w:right w:val="single" w:sz="4" w:space="0" w:color="auto"/>
            </w:tcBorders>
            <w:noWrap/>
            <w:vAlign w:val="bottom"/>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TABLA  DE LA TARIFA DEL IMPUESTO DE PATENTE</w:t>
            </w:r>
          </w:p>
        </w:tc>
      </w:tr>
      <w:tr w:rsidR="00FA3913" w:rsidRPr="002C4ED8" w:rsidTr="00FA3913">
        <w:trPr>
          <w:trHeight w:val="1035"/>
          <w:jc w:val="center"/>
        </w:trPr>
        <w:tc>
          <w:tcPr>
            <w:tcW w:w="2712" w:type="dxa"/>
            <w:gridSpan w:val="2"/>
            <w:tcBorders>
              <w:top w:val="single" w:sz="8" w:space="0" w:color="1D1B10"/>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 xml:space="preserve"> BASE IMPONIBLE </w:t>
            </w:r>
          </w:p>
        </w:tc>
        <w:tc>
          <w:tcPr>
            <w:tcW w:w="1556" w:type="dxa"/>
            <w:tcBorders>
              <w:top w:val="nil"/>
              <w:left w:val="single" w:sz="4" w:space="0" w:color="auto"/>
              <w:bottom w:val="single" w:sz="4" w:space="0" w:color="auto"/>
              <w:right w:val="single" w:sz="4" w:space="0" w:color="auto"/>
            </w:tcBorders>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Impuesto a la  Fracción Básica</w:t>
            </w:r>
          </w:p>
        </w:tc>
        <w:tc>
          <w:tcPr>
            <w:tcW w:w="1452" w:type="dxa"/>
            <w:tcBorders>
              <w:top w:val="nil"/>
              <w:left w:val="nil"/>
              <w:bottom w:val="single" w:sz="4" w:space="0" w:color="auto"/>
              <w:right w:val="single" w:sz="4" w:space="0" w:color="auto"/>
            </w:tcBorders>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Impuesto sobre Fracción Excedente</w:t>
            </w:r>
          </w:p>
        </w:tc>
      </w:tr>
      <w:tr w:rsidR="00FA3913" w:rsidRPr="002C4ED8" w:rsidTr="00FA3913">
        <w:trPr>
          <w:trHeight w:val="270"/>
          <w:jc w:val="center"/>
        </w:trPr>
        <w:tc>
          <w:tcPr>
            <w:tcW w:w="1386" w:type="dxa"/>
            <w:tcBorders>
              <w:top w:val="single" w:sz="4" w:space="0" w:color="auto"/>
              <w:left w:val="single" w:sz="4" w:space="0" w:color="auto"/>
              <w:bottom w:val="single" w:sz="4" w:space="0" w:color="auto"/>
              <w:right w:val="single" w:sz="4" w:space="0" w:color="auto"/>
            </w:tcBorders>
            <w:noWrap/>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Desde US ($)</w:t>
            </w:r>
          </w:p>
        </w:tc>
        <w:tc>
          <w:tcPr>
            <w:tcW w:w="1326" w:type="dxa"/>
            <w:tcBorders>
              <w:top w:val="single" w:sz="4" w:space="0" w:color="auto"/>
              <w:left w:val="nil"/>
              <w:bottom w:val="single" w:sz="4" w:space="0" w:color="auto"/>
              <w:right w:val="single" w:sz="4" w:space="0" w:color="auto"/>
            </w:tcBorders>
            <w:noWrap/>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Hasta US ($)</w:t>
            </w:r>
          </w:p>
        </w:tc>
        <w:tc>
          <w:tcPr>
            <w:tcW w:w="1556" w:type="dxa"/>
            <w:tcBorders>
              <w:top w:val="nil"/>
              <w:left w:val="nil"/>
              <w:bottom w:val="single" w:sz="4" w:space="0" w:color="auto"/>
              <w:right w:val="single" w:sz="4" w:space="0" w:color="auto"/>
            </w:tcBorders>
            <w:noWrap/>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Dólares US ($)</w:t>
            </w:r>
          </w:p>
        </w:tc>
        <w:tc>
          <w:tcPr>
            <w:tcW w:w="1452" w:type="dxa"/>
            <w:tcBorders>
              <w:top w:val="nil"/>
              <w:left w:val="nil"/>
              <w:bottom w:val="single" w:sz="4" w:space="0" w:color="auto"/>
              <w:right w:val="single" w:sz="4" w:space="0" w:color="auto"/>
            </w:tcBorders>
            <w:noWrap/>
            <w:vAlign w:val="center"/>
            <w:hideMark/>
          </w:tcPr>
          <w:p w:rsidR="00FA3913" w:rsidRPr="002C4ED8" w:rsidRDefault="00FA3913" w:rsidP="006B32A9">
            <w:pPr>
              <w:spacing w:after="0" w:line="240" w:lineRule="auto"/>
              <w:jc w:val="center"/>
              <w:rPr>
                <w:rFonts w:ascii="Times New Roman" w:hAnsi="Times New Roman"/>
                <w:b/>
                <w:bCs/>
                <w:color w:val="000000"/>
                <w:lang w:val="es-EC" w:eastAsia="es-EC"/>
              </w:rPr>
            </w:pPr>
            <w:r w:rsidRPr="002C4ED8">
              <w:rPr>
                <w:rFonts w:ascii="Times New Roman" w:hAnsi="Times New Roman"/>
                <w:b/>
                <w:bCs/>
                <w:color w:val="000000"/>
                <w:lang w:val="es-EC" w:eastAsia="es-EC"/>
              </w:rPr>
              <w:t>Porcentaje %</w:t>
            </w:r>
          </w:p>
        </w:tc>
      </w:tr>
      <w:tr w:rsidR="00FA3913" w:rsidRPr="002C4ED8" w:rsidTr="00FA3913">
        <w:trPr>
          <w:trHeight w:val="822"/>
          <w:jc w:val="center"/>
        </w:trPr>
        <w:tc>
          <w:tcPr>
            <w:tcW w:w="1386" w:type="dxa"/>
            <w:tcBorders>
              <w:top w:val="single" w:sz="8" w:space="0" w:color="1D1B10"/>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w:t>
            </w:r>
          </w:p>
        </w:tc>
        <w:tc>
          <w:tcPr>
            <w:tcW w:w="1326" w:type="dxa"/>
            <w:tcBorders>
              <w:top w:val="single" w:sz="8" w:space="0" w:color="1D1B10"/>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1.000,00</w:t>
            </w:r>
          </w:p>
        </w:tc>
        <w:tc>
          <w:tcPr>
            <w:tcW w:w="1556" w:type="dxa"/>
            <w:tcBorders>
              <w:top w:val="single" w:sz="8" w:space="0" w:color="1D1B10"/>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10,00</w:t>
            </w:r>
          </w:p>
        </w:tc>
        <w:tc>
          <w:tcPr>
            <w:tcW w:w="1452" w:type="dxa"/>
            <w:tcBorders>
              <w:top w:val="single" w:sz="8" w:space="0" w:color="1D1B10"/>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0,00%</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12,00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0,20%</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20,00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0,25%</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20.000,00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32,50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0,27%</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20.000,01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59,50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0,29%</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146,50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0,31%</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100.000,01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300.000,00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301,50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0,33%</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300.000,01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961,50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0,36%</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500.000,01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3.000.000,00</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1.681,50</w:t>
            </w:r>
          </w:p>
        </w:tc>
        <w:tc>
          <w:tcPr>
            <w:tcW w:w="1452"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0,39%</w:t>
            </w:r>
          </w:p>
        </w:tc>
      </w:tr>
      <w:tr w:rsidR="00FA3913" w:rsidRPr="002C4ED8" w:rsidTr="00FA3913">
        <w:trPr>
          <w:trHeight w:val="300"/>
          <w:jc w:val="center"/>
        </w:trPr>
        <w:tc>
          <w:tcPr>
            <w:tcW w:w="1386" w:type="dxa"/>
            <w:tcBorders>
              <w:top w:val="nil"/>
              <w:left w:val="single" w:sz="8" w:space="0" w:color="1D1B10"/>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3.000.000,01</w:t>
            </w:r>
          </w:p>
        </w:tc>
        <w:tc>
          <w:tcPr>
            <w:tcW w:w="132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right"/>
              <w:rPr>
                <w:rFonts w:ascii="Times New Roman" w:hAnsi="Times New Roman"/>
                <w:b/>
                <w:bCs/>
                <w:color w:val="1D1B10"/>
                <w:lang w:val="es-EC" w:eastAsia="es-EC"/>
              </w:rPr>
            </w:pPr>
            <w:r w:rsidRPr="002C4ED8">
              <w:rPr>
                <w:rFonts w:ascii="Times New Roman" w:hAnsi="Times New Roman"/>
                <w:b/>
                <w:bCs/>
                <w:color w:val="1D1B10"/>
                <w:lang w:val="es-EC" w:eastAsia="es-EC"/>
              </w:rPr>
              <w:t>en adelante</w:t>
            </w:r>
          </w:p>
        </w:tc>
        <w:tc>
          <w:tcPr>
            <w:tcW w:w="1556" w:type="dxa"/>
            <w:tcBorders>
              <w:top w:val="nil"/>
              <w:left w:val="nil"/>
              <w:bottom w:val="single" w:sz="8" w:space="0" w:color="1D1B10"/>
              <w:right w:val="single" w:sz="8" w:space="0" w:color="1D1B10"/>
            </w:tcBorders>
            <w:noWrap/>
            <w:vAlign w:val="bottom"/>
            <w:hideMark/>
          </w:tcPr>
          <w:p w:rsidR="00FA3913"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11.431,50</w:t>
            </w:r>
          </w:p>
        </w:tc>
        <w:tc>
          <w:tcPr>
            <w:tcW w:w="1452" w:type="dxa"/>
            <w:tcBorders>
              <w:top w:val="nil"/>
              <w:left w:val="nil"/>
              <w:bottom w:val="single" w:sz="8" w:space="0" w:color="1D1B10"/>
              <w:right w:val="single" w:sz="8" w:space="0" w:color="1D1B10"/>
            </w:tcBorders>
            <w:noWrap/>
            <w:vAlign w:val="bottom"/>
            <w:hideMark/>
          </w:tcPr>
          <w:p w:rsidR="006B32A9" w:rsidRPr="002C4ED8" w:rsidRDefault="00FA3913" w:rsidP="006B32A9">
            <w:pPr>
              <w:spacing w:after="0" w:line="240" w:lineRule="auto"/>
              <w:jc w:val="center"/>
              <w:rPr>
                <w:rFonts w:ascii="Times New Roman" w:hAnsi="Times New Roman"/>
                <w:b/>
                <w:bCs/>
                <w:color w:val="1D1B10"/>
                <w:lang w:val="es-EC" w:eastAsia="es-EC"/>
              </w:rPr>
            </w:pPr>
            <w:r w:rsidRPr="002C4ED8">
              <w:rPr>
                <w:rFonts w:ascii="Times New Roman" w:hAnsi="Times New Roman"/>
                <w:b/>
                <w:bCs/>
                <w:color w:val="1D1B10"/>
                <w:lang w:val="es-EC" w:eastAsia="es-EC"/>
              </w:rPr>
              <w:t>0,42%</w:t>
            </w:r>
          </w:p>
        </w:tc>
      </w:tr>
    </w:tbl>
    <w:p w:rsidR="006B32A9" w:rsidRPr="002C4ED8" w:rsidRDefault="006B32A9" w:rsidP="006B32A9">
      <w:pPr>
        <w:spacing w:after="0" w:line="240" w:lineRule="auto"/>
        <w:rPr>
          <w:rFonts w:ascii="Times New Roman" w:hAnsi="Times New Roman"/>
        </w:rPr>
      </w:pPr>
    </w:p>
    <w:p w:rsidR="00FA3913" w:rsidRPr="002C4ED8" w:rsidRDefault="00FA3913" w:rsidP="006B32A9">
      <w:pPr>
        <w:spacing w:after="0" w:line="240" w:lineRule="auto"/>
        <w:rPr>
          <w:rFonts w:ascii="Times New Roman" w:hAnsi="Times New Roman"/>
        </w:rPr>
      </w:pPr>
      <w:r w:rsidRPr="002C4ED8">
        <w:rPr>
          <w:rFonts w:ascii="Times New Roman" w:hAnsi="Times New Roman"/>
        </w:rPr>
        <w:t>El impuesto máximo causado no excederá  los $25.000</w:t>
      </w:r>
      <w:r w:rsidR="001B09B2">
        <w:rPr>
          <w:rFonts w:ascii="Times New Roman" w:hAnsi="Times New Roman"/>
        </w:rPr>
        <w:t>,00</w:t>
      </w:r>
      <w:r w:rsidRPr="002C4ED8">
        <w:rPr>
          <w:rFonts w:ascii="Times New Roman" w:hAnsi="Times New Roman"/>
        </w:rPr>
        <w:t xml:space="preserve"> dólares de los Estados Unidos de América; según el Art 548 del COOTAD.  </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IV</w:t>
      </w:r>
    </w:p>
    <w:p w:rsidR="00FA3913" w:rsidRPr="002C4ED8" w:rsidRDefault="00FA3913" w:rsidP="006B32A9">
      <w:pPr>
        <w:spacing w:after="0" w:line="240" w:lineRule="auto"/>
        <w:jc w:val="center"/>
        <w:rPr>
          <w:rFonts w:ascii="Times New Roman" w:hAnsi="Times New Roman"/>
          <w:b/>
          <w:bCs/>
          <w:color w:val="333333"/>
          <w:lang w:eastAsia="es-ES"/>
        </w:rPr>
      </w:pPr>
      <w:r w:rsidRPr="002C4ED8">
        <w:rPr>
          <w:rFonts w:ascii="Times New Roman" w:hAnsi="Times New Roman"/>
          <w:b/>
          <w:bCs/>
          <w:color w:val="333333"/>
          <w:lang w:eastAsia="es-ES"/>
        </w:rPr>
        <w:t>DETERMINACIÓN DEL IMPUESTO</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lang w:eastAsia="es-ES"/>
        </w:rPr>
        <w:lastRenderedPageBreak/>
        <w:t xml:space="preserve">Art. 9.-  SISTEMA DE DETERMINACIÓN.- </w:t>
      </w:r>
      <w:r w:rsidRPr="002C4ED8">
        <w:rPr>
          <w:rFonts w:ascii="Times New Roman" w:hAnsi="Times New Roman"/>
        </w:rPr>
        <w:t>La determinación de este impuesto se efectuará por declaración del sujeto pasivo, o  actuación del sujeto activo.</w:t>
      </w:r>
    </w:p>
    <w:p w:rsidR="00FA3913" w:rsidRPr="002C4ED8" w:rsidRDefault="00FA3913" w:rsidP="006B32A9">
      <w:pPr>
        <w:spacing w:after="0" w:line="240" w:lineRule="auto"/>
        <w:jc w:val="both"/>
        <w:rPr>
          <w:rFonts w:ascii="Times New Roman" w:hAnsi="Times New Roman"/>
          <w:b/>
          <w:bCs/>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333333"/>
          <w:lang w:eastAsia="es-ES"/>
        </w:rPr>
        <w:t xml:space="preserve">Art. 10.- DETERMINACIÓN POR LA ADMINISTRACIÓN.-  </w:t>
      </w:r>
      <w:r w:rsidRPr="002C4ED8">
        <w:rPr>
          <w:rFonts w:ascii="Times New Roman" w:hAnsi="Times New Roman"/>
        </w:rPr>
        <w:t>La administración efectuará las determinaciones directa o presuntivamente.  La determinación directa se hará en base a la contabilidad del sujeto pasivo y/o sobre la base de los documentos, datos, informes que se obtengan de los responsables o de terceros, siempre que con tales  fuentes de información sea posible llegar a conclusiones</w:t>
      </w:r>
      <w:r w:rsidRPr="002C4ED8">
        <w:rPr>
          <w:rFonts w:ascii="Times New Roman" w:hAnsi="Times New Roman"/>
          <w:b/>
          <w:color w:val="FFC000"/>
        </w:rPr>
        <w:t xml:space="preserve"> </w:t>
      </w:r>
      <w:r w:rsidRPr="002C4ED8">
        <w:rPr>
          <w:rFonts w:ascii="Times New Roman" w:hAnsi="Times New Roman"/>
        </w:rPr>
        <w:t xml:space="preserve">de la base imponible del impuesto.  La administración realizará la determinación presuntiva cuando no sea posible efectuar la determinación directa. </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V</w:t>
      </w:r>
    </w:p>
    <w:p w:rsidR="00FA3913" w:rsidRPr="002C4ED8" w:rsidRDefault="00FA3913" w:rsidP="006B32A9">
      <w:pPr>
        <w:spacing w:after="0" w:line="240" w:lineRule="auto"/>
        <w:jc w:val="center"/>
        <w:rPr>
          <w:rFonts w:ascii="Times New Roman" w:hAnsi="Times New Roman"/>
          <w:b/>
          <w:bCs/>
          <w:color w:val="333333"/>
          <w:lang w:eastAsia="es-ES"/>
        </w:rPr>
      </w:pPr>
      <w:r w:rsidRPr="002C4ED8">
        <w:rPr>
          <w:rFonts w:ascii="Times New Roman" w:hAnsi="Times New Roman"/>
          <w:b/>
          <w:bCs/>
          <w:color w:val="333333"/>
          <w:lang w:eastAsia="es-ES"/>
        </w:rPr>
        <w:t>DECLARACIÓN Y PAGO DEL IMPUESTO</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tabs>
          <w:tab w:val="left" w:pos="0"/>
          <w:tab w:val="left" w:pos="621"/>
          <w:tab w:val="left" w:pos="1083"/>
          <w:tab w:val="left" w:pos="1329"/>
          <w:tab w:val="left" w:pos="2037"/>
        </w:tabs>
        <w:spacing w:after="0" w:line="240" w:lineRule="auto"/>
        <w:jc w:val="both"/>
        <w:rPr>
          <w:rFonts w:ascii="Times New Roman" w:hAnsi="Times New Roman"/>
          <w:color w:val="000000"/>
        </w:rPr>
      </w:pPr>
      <w:r w:rsidRPr="002C4ED8">
        <w:rPr>
          <w:rFonts w:ascii="Times New Roman" w:hAnsi="Times New Roman"/>
          <w:b/>
          <w:bCs/>
          <w:color w:val="333333"/>
          <w:lang w:eastAsia="es-ES"/>
        </w:rPr>
        <w:t>Art.</w:t>
      </w:r>
      <w:r w:rsidR="001B09B2">
        <w:rPr>
          <w:rFonts w:ascii="Times New Roman" w:hAnsi="Times New Roman"/>
          <w:b/>
          <w:bCs/>
          <w:color w:val="333333"/>
          <w:lang w:eastAsia="es-ES"/>
        </w:rPr>
        <w:t>11.-  PLAZO PARA LA DETERMINACIÓ</w:t>
      </w:r>
      <w:r w:rsidRPr="002C4ED8">
        <w:rPr>
          <w:rFonts w:ascii="Times New Roman" w:hAnsi="Times New Roman"/>
          <w:b/>
          <w:bCs/>
          <w:color w:val="333333"/>
          <w:lang w:eastAsia="es-ES"/>
        </w:rPr>
        <w:t xml:space="preserve">N, DECLARACIÓN Y PAGO DEL IMPUESTO.- </w:t>
      </w:r>
      <w:r w:rsidRPr="002C4ED8">
        <w:rPr>
          <w:rFonts w:ascii="Times New Roman" w:hAnsi="Times New Roman"/>
          <w:color w:val="000000"/>
        </w:rPr>
        <w:t xml:space="preserve">Para la determinación, declaración y pago del </w:t>
      </w:r>
      <w:r w:rsidRPr="002C4ED8">
        <w:rPr>
          <w:rFonts w:ascii="Times New Roman" w:hAnsi="Times New Roman"/>
        </w:rPr>
        <w:t>impuesto se</w:t>
      </w:r>
      <w:r w:rsidRPr="002C4ED8">
        <w:rPr>
          <w:rFonts w:ascii="Times New Roman" w:hAnsi="Times New Roman"/>
          <w:color w:val="000000"/>
        </w:rPr>
        <w:t xml:space="preserve"> considerará:</w:t>
      </w:r>
    </w:p>
    <w:p w:rsidR="002B2CEF" w:rsidRPr="002C4ED8" w:rsidRDefault="002B2CEF" w:rsidP="006B32A9">
      <w:pPr>
        <w:tabs>
          <w:tab w:val="left" w:pos="0"/>
          <w:tab w:val="left" w:pos="621"/>
          <w:tab w:val="left" w:pos="1083"/>
          <w:tab w:val="left" w:pos="1329"/>
          <w:tab w:val="left" w:pos="2037"/>
        </w:tabs>
        <w:spacing w:after="0" w:line="240" w:lineRule="auto"/>
        <w:jc w:val="both"/>
        <w:rPr>
          <w:rFonts w:ascii="Times New Roman" w:hAnsi="Times New Roman"/>
          <w:color w:val="000000"/>
        </w:rPr>
      </w:pP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615" w:right="9" w:hanging="615"/>
        <w:jc w:val="both"/>
        <w:rPr>
          <w:rFonts w:ascii="Times New Roman" w:hAnsi="Times New Roman"/>
          <w:color w:val="000000"/>
        </w:rPr>
      </w:pPr>
      <w:r w:rsidRPr="002C4ED8">
        <w:rPr>
          <w:rFonts w:ascii="Times New Roman" w:hAnsi="Times New Roman"/>
          <w:color w:val="000000"/>
        </w:rPr>
        <w:t xml:space="preserve">a). </w:t>
      </w:r>
      <w:r w:rsidRPr="002C4ED8">
        <w:rPr>
          <w:rFonts w:ascii="Times New Roman" w:hAnsi="Times New Roman"/>
          <w:color w:val="000000"/>
        </w:rPr>
        <w:tab/>
        <w:t>Para las personas naturales que no estén obligados a llevar contabilidad, conforme el patrimonio registrado en el Catastro de Patentes, la Administración Tributaria determinará el impuesto de patentes de la siguiente manera:</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615"/>
        <w:jc w:val="both"/>
        <w:rPr>
          <w:rFonts w:ascii="Times New Roman" w:hAnsi="Times New Roman"/>
          <w:color w:val="000000"/>
        </w:rPr>
      </w:pPr>
      <w:r w:rsidRPr="002C4ED8">
        <w:rPr>
          <w:rFonts w:ascii="Times New Roman" w:hAnsi="Times New Roman"/>
          <w:color w:val="000000"/>
        </w:rPr>
        <w:tab/>
      </w:r>
      <w:r w:rsidRPr="002C4ED8">
        <w:rPr>
          <w:rFonts w:ascii="Times New Roman" w:hAnsi="Times New Roman"/>
          <w:color w:val="000000"/>
        </w:rPr>
        <w:tab/>
        <w:t>a.1) Para los sujetos pasivos que estén registrados en el catastro de patentes, la determinación será hasta el último día del mes de diciembre del año inmediato anterior y pagarán sin recargo hasta el 30 de junio del correspondiente año.</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615"/>
        <w:jc w:val="both"/>
        <w:rPr>
          <w:rFonts w:ascii="Times New Roman" w:hAnsi="Times New Roman"/>
          <w:color w:val="000000"/>
        </w:rPr>
      </w:pPr>
      <w:r w:rsidRPr="002C4ED8">
        <w:rPr>
          <w:rFonts w:ascii="Times New Roman" w:hAnsi="Times New Roman"/>
          <w:color w:val="000000"/>
        </w:rPr>
        <w:tab/>
      </w:r>
      <w:r w:rsidRPr="002C4ED8">
        <w:rPr>
          <w:rFonts w:ascii="Times New Roman" w:hAnsi="Times New Roman"/>
          <w:color w:val="000000"/>
        </w:rPr>
        <w:tab/>
        <w:t>a.2) Para las personas que inicien actividades y se inscriban por primera vez en el catastro de patentes, la determinación del impuesto será de forma inmediata  y este será cancelado por el sujeto pasivo dentro de los 30 días siguientes al día final del mes en el que inicien actividades.</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615"/>
        <w:jc w:val="both"/>
        <w:rPr>
          <w:rFonts w:ascii="Times New Roman" w:hAnsi="Times New Roman"/>
          <w:color w:val="000000"/>
        </w:rPr>
      </w:pPr>
      <w:r w:rsidRPr="002C4ED8">
        <w:rPr>
          <w:rFonts w:ascii="Times New Roman" w:hAnsi="Times New Roman"/>
          <w:color w:val="000000"/>
        </w:rPr>
        <w:tab/>
      </w:r>
      <w:r w:rsidRPr="002C4ED8">
        <w:rPr>
          <w:rFonts w:ascii="Times New Roman" w:hAnsi="Times New Roman"/>
          <w:color w:val="000000"/>
        </w:rPr>
        <w:tab/>
        <w:t xml:space="preserve">a.3) Para las personas naturales que desarrollan y ejercen su actividad profesional de manera independiente, cuyo patrimonio consiste en su capacidad profesional, pagaran el impuesto mínimo anual de patente de $30 dólares. En el caso de que para ejercer su actividad profesional utiliza activos o un patrimonio adicional pagarán hasta el 30 de junio en función de la tabla vigente. </w:t>
      </w:r>
    </w:p>
    <w:p w:rsidR="00FA3913" w:rsidRPr="002C4ED8" w:rsidRDefault="00FA3913" w:rsidP="006B32A9">
      <w:pPr>
        <w:tabs>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615" w:right="9" w:hanging="615"/>
        <w:jc w:val="both"/>
        <w:rPr>
          <w:rFonts w:ascii="Times New Roman" w:hAnsi="Times New Roman"/>
          <w:color w:val="000000"/>
        </w:rPr>
      </w:pPr>
      <w:r w:rsidRPr="002C4ED8">
        <w:rPr>
          <w:rFonts w:ascii="Times New Roman" w:hAnsi="Times New Roman"/>
          <w:color w:val="000000"/>
        </w:rPr>
        <w:t xml:space="preserve">b) </w:t>
      </w:r>
      <w:r w:rsidRPr="002C4ED8">
        <w:rPr>
          <w:rFonts w:ascii="Times New Roman" w:hAnsi="Times New Roman"/>
          <w:color w:val="000000"/>
        </w:rPr>
        <w:tab/>
        <w:t>Para las personas naturales obligadas a llevar contabilidad y toda persona jurídica, este</w:t>
      </w:r>
      <w:r w:rsidRPr="002C4ED8">
        <w:rPr>
          <w:rFonts w:ascii="Times New Roman" w:hAnsi="Times New Roman"/>
        </w:rPr>
        <w:t xml:space="preserve"> impuesto se declarará y pagará hasta 30 días después de la fecha límite establecida para la declaración del impuesto a la renta del sujeto pasivo. La declaración se realizará en los formularios previstos por la Unidad de Rentas o por medio del sistema, canales o medios</w:t>
      </w:r>
      <w:r w:rsidRPr="002C4ED8">
        <w:rPr>
          <w:rFonts w:ascii="Times New Roman" w:hAnsi="Times New Roman"/>
          <w:color w:val="000000"/>
        </w:rPr>
        <w:t xml:space="preserve"> electrónicos que la Municipalidad disponga </w:t>
      </w:r>
      <w:r w:rsidRPr="002C4ED8">
        <w:rPr>
          <w:rFonts w:ascii="Times New Roman" w:hAnsi="Times New Roman"/>
        </w:rPr>
        <w:t>para declarar este impuesto.</w:t>
      </w:r>
    </w:p>
    <w:p w:rsidR="00FA3913" w:rsidRPr="002C4ED8" w:rsidRDefault="00FA3913" w:rsidP="006B32A9">
      <w:pPr>
        <w:spacing w:after="0" w:line="240" w:lineRule="auto"/>
        <w:ind w:left="621"/>
        <w:jc w:val="both"/>
        <w:rPr>
          <w:rFonts w:ascii="Times New Roman" w:hAnsi="Times New Roman"/>
        </w:rPr>
      </w:pPr>
      <w:r w:rsidRPr="002C4ED8">
        <w:rPr>
          <w:rFonts w:ascii="Times New Roman" w:hAnsi="Times New Roman"/>
        </w:rPr>
        <w:t>La declaración hace responsable al declarante  por la exactitud y veracidad de la información que contenga.</w:t>
      </w:r>
    </w:p>
    <w:p w:rsidR="00FA3913" w:rsidRPr="002C4ED8" w:rsidRDefault="00FA3913" w:rsidP="006B32A9">
      <w:pPr>
        <w:tabs>
          <w:tab w:val="left" w:pos="0"/>
          <w:tab w:val="left" w:pos="621"/>
          <w:tab w:val="left" w:pos="1083"/>
          <w:tab w:val="left" w:pos="1329"/>
          <w:tab w:val="left" w:pos="2037"/>
          <w:tab w:val="left" w:pos="2745"/>
          <w:tab w:val="left" w:pos="3453"/>
          <w:tab w:val="left" w:pos="4161"/>
          <w:tab w:val="left" w:pos="4869"/>
          <w:tab w:val="left" w:pos="5577"/>
          <w:tab w:val="left" w:pos="6285"/>
          <w:tab w:val="left" w:pos="6993"/>
          <w:tab w:val="left" w:pos="7701"/>
          <w:tab w:val="left" w:pos="8409"/>
          <w:tab w:val="left" w:pos="8460"/>
          <w:tab w:val="left" w:pos="9117"/>
          <w:tab w:val="left" w:pos="9261"/>
          <w:tab w:val="left" w:pos="9360"/>
          <w:tab w:val="left" w:pos="10080"/>
        </w:tabs>
        <w:spacing w:line="240" w:lineRule="auto"/>
        <w:ind w:left="1083" w:right="9" w:hanging="462"/>
        <w:jc w:val="both"/>
        <w:rPr>
          <w:rFonts w:ascii="Times New Roman" w:hAnsi="Times New Roman"/>
          <w:color w:val="000000"/>
        </w:rPr>
      </w:pPr>
      <w:r w:rsidRPr="002C4ED8">
        <w:rPr>
          <w:rFonts w:ascii="Times New Roman" w:hAnsi="Times New Roman"/>
          <w:color w:val="000000"/>
        </w:rPr>
        <w:t xml:space="preserve"> </w:t>
      </w:r>
    </w:p>
    <w:p w:rsidR="00FA3913" w:rsidRDefault="00FA3913" w:rsidP="006B32A9">
      <w:pPr>
        <w:spacing w:after="0" w:line="240" w:lineRule="auto"/>
        <w:jc w:val="both"/>
        <w:rPr>
          <w:rFonts w:ascii="Times New Roman" w:hAnsi="Times New Roman"/>
        </w:rPr>
      </w:pPr>
      <w:r w:rsidRPr="002C4ED8">
        <w:rPr>
          <w:rFonts w:ascii="Times New Roman" w:hAnsi="Times New Roman"/>
          <w:b/>
          <w:bCs/>
          <w:color w:val="333333"/>
          <w:lang w:eastAsia="es-ES"/>
        </w:rPr>
        <w:t xml:space="preserve">Art. 12.- EXENCIONES.-  </w:t>
      </w:r>
      <w:r w:rsidRPr="002C4ED8">
        <w:rPr>
          <w:rFonts w:ascii="Times New Roman" w:hAnsi="Times New Roman"/>
        </w:rPr>
        <w:t>Estarán exentos del impuesto los artesanos calificados como tales y las exoneraciones previstas en el Código Orgánico Tributario y otras leyes.</w:t>
      </w:r>
    </w:p>
    <w:p w:rsidR="001B09B2" w:rsidRPr="002C4ED8" w:rsidRDefault="001B09B2" w:rsidP="006B32A9">
      <w:pPr>
        <w:spacing w:after="0" w:line="240" w:lineRule="auto"/>
        <w:jc w:val="both"/>
        <w:rPr>
          <w:rFonts w:ascii="Times New Roman" w:hAnsi="Times New Roman"/>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rPr>
        <w:t>Para fines tributarios, el Municipio  podrá verificar e inspeccionar el cumplimiento de las condiciones de la actividad económica de los artesanos.</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both"/>
        <w:rPr>
          <w:rFonts w:ascii="Times New Roman" w:hAnsi="Times New Roman"/>
          <w:b/>
          <w:bCs/>
          <w:color w:val="333333"/>
          <w:lang w:eastAsia="es-ES"/>
        </w:rPr>
      </w:pPr>
      <w:r w:rsidRPr="002C4ED8">
        <w:rPr>
          <w:rFonts w:ascii="Times New Roman" w:hAnsi="Times New Roman"/>
          <w:b/>
          <w:bCs/>
          <w:color w:val="333333"/>
          <w:lang w:eastAsia="es-ES"/>
        </w:rPr>
        <w:lastRenderedPageBreak/>
        <w:t xml:space="preserve">Art. 13.- REDUCCIÓN DEL IMPUESTO.-  </w:t>
      </w:r>
      <w:r w:rsidRPr="002C4ED8">
        <w:rPr>
          <w:rFonts w:ascii="Times New Roman" w:hAnsi="Times New Roman"/>
        </w:rPr>
        <w:t>Cuando una persona natural obligada a llevar contabilidad y toda persona jurídica, demuestre haber sufrido pérdidas conforme a la declaración aceptada en el Servicio de Rentas Internas, o por fiscalización efectuada por la predicha entidad o por la municipalidad, el impuesto se reducirá a la mitad.  La reducción será hasta de la tercera parte, si se demostrare un descenso en la utilidad de más del cincuenta por ciento en relación con el promedio obtenido en los tres años inmediatos anteriores.</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333333"/>
          <w:lang w:eastAsia="es-ES"/>
        </w:rPr>
        <w:t xml:space="preserve">Art.14.- DE LOS INTERESES.- </w:t>
      </w:r>
      <w:r w:rsidRPr="002C4ED8">
        <w:rPr>
          <w:rFonts w:ascii="Times New Roman" w:hAnsi="Times New Roman"/>
        </w:rPr>
        <w:t>Cumplido el plazo establecido en el artículo 11 de esta Ordenanza, el cobro de intereses  se realizará  con lo establecido en el Código Orgánico Tributario.</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333333"/>
          <w:lang w:eastAsia="es-ES"/>
        </w:rPr>
        <w:t xml:space="preserve">Art.15.-  COBRO DE MULTAS.-  </w:t>
      </w:r>
      <w:r w:rsidRPr="002C4ED8">
        <w:rPr>
          <w:rFonts w:ascii="Times New Roman" w:hAnsi="Times New Roman"/>
        </w:rPr>
        <w:t>Los sujetos pasivos que no presenten su declaración o pago dentro del plazo establecido en el artículo 11 de esta Ordenanza, serán sancionados sin necesidad de resolución administrativa con una multa equivalente al 3% por cada mes o fracción de mes de retraso en la presentación de la declaración o pago, la cual se calculará sobre el impuesto causado según la respectiva declaración, multa que no excederá del valor de 1.000</w:t>
      </w:r>
      <w:r w:rsidR="00D3216C" w:rsidRPr="002C4ED8">
        <w:rPr>
          <w:rFonts w:ascii="Times New Roman" w:hAnsi="Times New Roman"/>
        </w:rPr>
        <w:t>,00</w:t>
      </w:r>
      <w:r w:rsidRPr="002C4ED8">
        <w:rPr>
          <w:rFonts w:ascii="Times New Roman" w:hAnsi="Times New Roman"/>
        </w:rPr>
        <w:t xml:space="preserve"> dólares de los Estados Unidos de América. Si de acuerdo a la declaración  no se hubiere causado impuesto, la multa por declaración tardía será de 30,00 dólares de los Estados Unidos de América.</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VI</w:t>
      </w:r>
    </w:p>
    <w:p w:rsidR="00FA3913" w:rsidRPr="002C4ED8" w:rsidRDefault="00FA3913" w:rsidP="006B32A9">
      <w:pPr>
        <w:spacing w:after="0" w:line="240" w:lineRule="auto"/>
        <w:jc w:val="center"/>
        <w:rPr>
          <w:rFonts w:ascii="Times New Roman" w:hAnsi="Times New Roman"/>
          <w:b/>
          <w:bCs/>
          <w:caps/>
          <w:color w:val="000000"/>
        </w:rPr>
      </w:pPr>
      <w:r w:rsidRPr="002C4ED8">
        <w:rPr>
          <w:rFonts w:ascii="Times New Roman" w:hAnsi="Times New Roman"/>
          <w:b/>
          <w:bCs/>
          <w:caps/>
          <w:color w:val="000000"/>
        </w:rPr>
        <w:t>DIFERENCIAS EN DECLARACIONES</w:t>
      </w:r>
    </w:p>
    <w:p w:rsidR="00FA3913" w:rsidRPr="002C4ED8" w:rsidRDefault="00FA3913" w:rsidP="006B32A9">
      <w:pPr>
        <w:spacing w:after="0" w:line="240" w:lineRule="auto"/>
        <w:jc w:val="both"/>
        <w:rPr>
          <w:rFonts w:ascii="Times New Roman" w:hAnsi="Times New Roman"/>
          <w:color w:val="000000"/>
        </w:rPr>
      </w:pPr>
      <w:r w:rsidRPr="002C4ED8">
        <w:rPr>
          <w:rFonts w:ascii="Times New Roman" w:hAnsi="Times New Roman"/>
          <w:color w:val="000000"/>
        </w:rPr>
        <w:br/>
      </w:r>
      <w:r w:rsidRPr="002C4ED8">
        <w:rPr>
          <w:rFonts w:ascii="Times New Roman" w:hAnsi="Times New Roman"/>
          <w:b/>
          <w:bCs/>
          <w:color w:val="000000"/>
        </w:rPr>
        <w:t xml:space="preserve">Art. 16.- </w:t>
      </w:r>
      <w:r w:rsidRPr="002C4ED8">
        <w:rPr>
          <w:rFonts w:ascii="Times New Roman" w:hAnsi="Times New Roman"/>
          <w:b/>
          <w:bCs/>
          <w:caps/>
          <w:color w:val="000000"/>
        </w:rPr>
        <w:t>Diferencias de declaraciones</w:t>
      </w:r>
      <w:r w:rsidRPr="002C4ED8">
        <w:rPr>
          <w:rFonts w:ascii="Times New Roman" w:hAnsi="Times New Roman"/>
          <w:bCs/>
          <w:color w:val="000000"/>
        </w:rPr>
        <w:t>.-</w:t>
      </w:r>
      <w:r w:rsidRPr="002C4ED8">
        <w:rPr>
          <w:rFonts w:ascii="Times New Roman" w:hAnsi="Times New Roman"/>
          <w:color w:val="000000"/>
        </w:rPr>
        <w:t xml:space="preserve"> El Municipio  notificará a los sujetos pasivos las diferencias que haya detectado en sus declaraciones que impliquen valores a favor de la Administración Tributaria Municipal por concepto de impuestos, intereses y multas, y los conminará para que presenten las respectivas declaraciones sustitutivas y cancelen o justifiquen las diferencias notificadas, en un plazo no mayor a </w:t>
      </w:r>
      <w:r w:rsidRPr="002C4ED8">
        <w:rPr>
          <w:rFonts w:ascii="Times New Roman" w:hAnsi="Times New Roman"/>
        </w:rPr>
        <w:t>diez días</w:t>
      </w:r>
      <w:r w:rsidRPr="002C4ED8">
        <w:rPr>
          <w:rFonts w:ascii="Times New Roman" w:hAnsi="Times New Roman"/>
          <w:color w:val="000000"/>
        </w:rPr>
        <w:t xml:space="preserve"> contados desde el día siguiente de la notificación. El sujeto pasivo podrá justificar, dentro del plazo concedido, las diferencias notificadas por la Administración Tributaria con los documentos probatorios pertinentes. </w:t>
      </w:r>
    </w:p>
    <w:p w:rsidR="00FA3913" w:rsidRPr="002C4ED8" w:rsidRDefault="00FA3913" w:rsidP="006B32A9">
      <w:pPr>
        <w:spacing w:after="0" w:line="240" w:lineRule="auto"/>
        <w:jc w:val="both"/>
        <w:rPr>
          <w:rFonts w:ascii="Times New Roman" w:hAnsi="Times New Roman"/>
          <w:b/>
          <w:bCs/>
          <w:color w:val="000000"/>
        </w:rPr>
      </w:pPr>
      <w:r w:rsidRPr="002C4ED8">
        <w:rPr>
          <w:rFonts w:ascii="Times New Roman" w:hAnsi="Times New Roman"/>
          <w:color w:val="000000"/>
        </w:rPr>
        <w:br/>
      </w:r>
      <w:r w:rsidRPr="002C4ED8">
        <w:rPr>
          <w:rFonts w:ascii="Times New Roman" w:hAnsi="Times New Roman"/>
          <w:b/>
          <w:bCs/>
          <w:color w:val="000000"/>
        </w:rPr>
        <w:t>Art</w:t>
      </w:r>
      <w:r w:rsidRPr="002C4ED8">
        <w:rPr>
          <w:rFonts w:ascii="Times New Roman" w:hAnsi="Times New Roman"/>
          <w:b/>
          <w:bCs/>
          <w:caps/>
          <w:color w:val="000000"/>
        </w:rPr>
        <w:t>. 17.- Liquidación de pago por diferencias en la declaración</w:t>
      </w:r>
      <w:r w:rsidRPr="002C4ED8">
        <w:rPr>
          <w:rFonts w:ascii="Times New Roman" w:hAnsi="Times New Roman"/>
          <w:b/>
          <w:bCs/>
          <w:color w:val="000000"/>
        </w:rPr>
        <w:t>.-</w:t>
      </w:r>
      <w:r w:rsidRPr="002C4ED8">
        <w:rPr>
          <w:rFonts w:ascii="Times New Roman" w:hAnsi="Times New Roman"/>
          <w:color w:val="000000"/>
        </w:rPr>
        <w:t xml:space="preserve"> Si el sujeto pasivo, luego de ser notificado con la respectiva comunicación por diferencias en la declaración, no efectuare la correspondiente declaración sustitutiva para cancelar las diferencias establecidas, ni hubiere justificado las mismas en el plazo otorgado, el Director Financiero Municipal, emitirá la liquidación de pago por diferencias en la declaración, misma que será notificada al sujeto pasivo, y en la cual se establecerán en forma motivada, la determinación de valores a favor de la Municipalidad por concepto de impuestos, intereses, multas y recargos que correspondan.</w:t>
      </w: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color w:val="000000"/>
        </w:rPr>
        <w:br/>
      </w:r>
      <w:r w:rsidRPr="002C4ED8">
        <w:rPr>
          <w:rFonts w:ascii="Times New Roman" w:hAnsi="Times New Roman"/>
          <w:b/>
          <w:color w:val="333333"/>
          <w:lang w:eastAsia="es-ES"/>
        </w:rPr>
        <w:t>CAPITULO VII</w:t>
      </w:r>
    </w:p>
    <w:p w:rsidR="00FA3913" w:rsidRPr="002C4ED8" w:rsidRDefault="00FA3913" w:rsidP="006B32A9">
      <w:pPr>
        <w:spacing w:after="0" w:line="240" w:lineRule="auto"/>
        <w:jc w:val="center"/>
        <w:rPr>
          <w:rFonts w:ascii="Times New Roman" w:hAnsi="Times New Roman"/>
          <w:b/>
          <w:bCs/>
          <w:color w:val="333333"/>
          <w:lang w:eastAsia="es-ES"/>
        </w:rPr>
      </w:pPr>
      <w:r w:rsidRPr="002C4ED8">
        <w:rPr>
          <w:rFonts w:ascii="Times New Roman" w:hAnsi="Times New Roman"/>
          <w:b/>
          <w:bCs/>
          <w:color w:val="333333"/>
          <w:lang w:eastAsia="es-ES"/>
        </w:rPr>
        <w:t>RÉGIMEN  SANCIONATORIO</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b/>
          <w:bCs/>
          <w:color w:val="333333"/>
          <w:lang w:eastAsia="es-ES"/>
        </w:rPr>
        <w:t>Art. 18.- CLAUSURA.-</w:t>
      </w:r>
      <w:r w:rsidRPr="002C4ED8">
        <w:rPr>
          <w:rFonts w:ascii="Times New Roman" w:hAnsi="Times New Roman"/>
          <w:color w:val="333333"/>
          <w:lang w:eastAsia="es-ES"/>
        </w:rPr>
        <w:t xml:space="preserve"> La clausura es el acto administrativo, por el cual el Director Financiero, por sí o mediante delegación, procede a cerrar los establecimientos de los sujetos pasivos, cuando estos incurran en cualquiera de los siguientes  casos:</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numPr>
          <w:ilvl w:val="0"/>
          <w:numId w:val="2"/>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Falta de declaración por parte de los sujetos pasivos en las fechas y plazos establecidos para el efecto, </w:t>
      </w:r>
      <w:r w:rsidR="00D3216C" w:rsidRPr="002C4ED8">
        <w:rPr>
          <w:rFonts w:ascii="Times New Roman" w:hAnsi="Times New Roman"/>
          <w:color w:val="333333"/>
          <w:lang w:eastAsia="es-ES"/>
        </w:rPr>
        <w:t>aun</w:t>
      </w:r>
      <w:r w:rsidRPr="002C4ED8">
        <w:rPr>
          <w:rFonts w:ascii="Times New Roman" w:hAnsi="Times New Roman"/>
          <w:color w:val="333333"/>
          <w:lang w:eastAsia="es-ES"/>
        </w:rPr>
        <w:t xml:space="preserve"> cuando en la declaración no se cause el imp</w:t>
      </w:r>
      <w:r w:rsidR="00D3216C" w:rsidRPr="002C4ED8">
        <w:rPr>
          <w:rFonts w:ascii="Times New Roman" w:hAnsi="Times New Roman"/>
          <w:color w:val="333333"/>
          <w:lang w:eastAsia="es-ES"/>
        </w:rPr>
        <w:t xml:space="preserve">uesto;  pese a la notificación, </w:t>
      </w:r>
      <w:r w:rsidRPr="002C4ED8">
        <w:rPr>
          <w:rFonts w:ascii="Times New Roman" w:hAnsi="Times New Roman"/>
          <w:color w:val="333333"/>
          <w:lang w:eastAsia="es-ES"/>
        </w:rPr>
        <w:t xml:space="preserve">particular que para el efecto hubiere formulado la Administración Tributaria. </w:t>
      </w:r>
    </w:p>
    <w:p w:rsidR="00FA3913" w:rsidRPr="002C4ED8" w:rsidRDefault="00FA3913" w:rsidP="006B32A9">
      <w:pPr>
        <w:spacing w:after="0" w:line="240" w:lineRule="auto"/>
        <w:ind w:hanging="366"/>
        <w:jc w:val="both"/>
        <w:rPr>
          <w:rFonts w:ascii="Times New Roman" w:hAnsi="Times New Roman"/>
          <w:color w:val="333333"/>
          <w:lang w:eastAsia="es-ES"/>
        </w:rPr>
      </w:pPr>
    </w:p>
    <w:p w:rsidR="00FA3913" w:rsidRPr="002C4ED8" w:rsidRDefault="00FA3913" w:rsidP="006B32A9">
      <w:pPr>
        <w:numPr>
          <w:ilvl w:val="0"/>
          <w:numId w:val="2"/>
        </w:num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lastRenderedPageBreak/>
        <w:t>Reincidir en la falta de entrega de información, exhibición de documentos o falta de comparecencia, requerida por la Administración Tributaria; y,</w:t>
      </w:r>
    </w:p>
    <w:p w:rsidR="00FA3913" w:rsidRPr="002C4ED8" w:rsidRDefault="00FA3913" w:rsidP="006B32A9">
      <w:pPr>
        <w:spacing w:after="0" w:line="240" w:lineRule="auto"/>
        <w:ind w:hanging="366"/>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Previo a la clausura, la Dirección Financiera notificará al sujeto pasivo concediéndole el plazo </w:t>
      </w:r>
      <w:r w:rsidRPr="002C4ED8">
        <w:rPr>
          <w:rFonts w:ascii="Times New Roman" w:hAnsi="Times New Roman"/>
          <w:lang w:eastAsia="es-ES"/>
        </w:rPr>
        <w:t>de diez días</w:t>
      </w:r>
      <w:r w:rsidRPr="002C4ED8">
        <w:rPr>
          <w:rFonts w:ascii="Times New Roman" w:hAnsi="Times New Roman"/>
          <w:color w:val="333333"/>
          <w:lang w:eastAsia="es-ES"/>
        </w:rPr>
        <w:t xml:space="preserve"> para que cumpla con las obligaciones tributarias pendientes o justifique objetivamente su incumplimiento. De no hacerlo, se notificará con la Resolución de clausura, que será ejecutada dentro de las veinticuatro horas siguientes a dicha  notificación.</w:t>
      </w: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w:t>
      </w: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La clausura se efectuará mediante la aplicación de sellos y avisos en un lugar visible del establecimiento del sujeto pasivo sancionado.</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FA3913" w:rsidP="006B32A9">
      <w:pPr>
        <w:spacing w:after="0" w:line="240" w:lineRule="auto"/>
        <w:jc w:val="both"/>
        <w:rPr>
          <w:rFonts w:ascii="Times New Roman" w:hAnsi="Times New Roman"/>
          <w:color w:val="333333"/>
          <w:lang w:eastAsia="es-ES"/>
        </w:rPr>
      </w:pPr>
      <w:r w:rsidRPr="002C4ED8">
        <w:rPr>
          <w:rFonts w:ascii="Times New Roman" w:hAnsi="Times New Roman"/>
          <w:color w:val="333333"/>
          <w:lang w:eastAsia="es-ES"/>
        </w:rPr>
        <w:t xml:space="preserve">La sanción de clausura se mantendrá por un período máximo </w:t>
      </w:r>
      <w:r w:rsidRPr="002C4ED8">
        <w:rPr>
          <w:rFonts w:ascii="Times New Roman" w:hAnsi="Times New Roman"/>
          <w:lang w:eastAsia="es-ES"/>
        </w:rPr>
        <w:t>de tres días</w:t>
      </w:r>
      <w:r w:rsidRPr="002C4ED8">
        <w:rPr>
          <w:rFonts w:ascii="Times New Roman" w:hAnsi="Times New Roman"/>
          <w:color w:val="333333"/>
          <w:lang w:eastAsia="es-ES"/>
        </w:rPr>
        <w:t>,  pudiendo levantarse antes si el sujeto pasivo cumple totalmente con las obligaciones por las que fue sancionado. Si los contribuyentes reincidieren en las faltas que ocasionaron la clausura, serán sancionados con una nueva clausura por un plazo de diez  días, la que se mantendrá hasta que satisfagan las obligaciones en mora.</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B0423B" w:rsidP="006B32A9">
      <w:pPr>
        <w:spacing w:after="0" w:line="240" w:lineRule="auto"/>
        <w:jc w:val="both"/>
        <w:rPr>
          <w:rFonts w:ascii="Times New Roman" w:hAnsi="Times New Roman"/>
          <w:color w:val="333333"/>
          <w:lang w:eastAsia="es-ES"/>
        </w:rPr>
      </w:pPr>
      <w:r>
        <w:rPr>
          <w:rFonts w:ascii="Times New Roman" w:hAnsi="Times New Roman"/>
          <w:b/>
          <w:bCs/>
          <w:color w:val="333333"/>
          <w:lang w:eastAsia="es-ES"/>
        </w:rPr>
        <w:t>Art. 19.- DESTRUCCIÓ</w:t>
      </w:r>
      <w:r w:rsidR="00FA3913" w:rsidRPr="002C4ED8">
        <w:rPr>
          <w:rFonts w:ascii="Times New Roman" w:hAnsi="Times New Roman"/>
          <w:b/>
          <w:bCs/>
          <w:color w:val="333333"/>
          <w:lang w:eastAsia="es-ES"/>
        </w:rPr>
        <w:t>N DE SELLOS.-</w:t>
      </w:r>
      <w:r w:rsidR="00FA3913" w:rsidRPr="002C4ED8">
        <w:rPr>
          <w:rFonts w:ascii="Times New Roman" w:hAnsi="Times New Roman"/>
          <w:color w:val="333333"/>
          <w:lang w:eastAsia="es-ES"/>
        </w:rPr>
        <w:t xml:space="preserve"> La destrucción de los sellos que implique el reinicio de actividades sin autorización o la oposición a la clausura, dará lugar a iniciar las acciones legales pertinentes.</w:t>
      </w:r>
    </w:p>
    <w:p w:rsidR="00FA3913" w:rsidRPr="002C4ED8" w:rsidRDefault="00FA3913" w:rsidP="006B32A9">
      <w:pPr>
        <w:spacing w:after="0" w:line="240" w:lineRule="auto"/>
        <w:jc w:val="both"/>
        <w:rPr>
          <w:rFonts w:ascii="Times New Roman" w:hAnsi="Times New Roman"/>
          <w:b/>
          <w:bCs/>
          <w:color w:val="333333"/>
          <w:lang w:eastAsia="es-ES"/>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000000"/>
        </w:rPr>
        <w:t>Art</w:t>
      </w:r>
      <w:r w:rsidRPr="002C4ED8">
        <w:rPr>
          <w:rFonts w:ascii="Times New Roman" w:hAnsi="Times New Roman"/>
          <w:b/>
          <w:bCs/>
          <w:color w:val="333333"/>
          <w:lang w:eastAsia="es-ES"/>
        </w:rPr>
        <w:t xml:space="preserve">. 20.-  SANCIÓN POR FALTA DE INSCRIPCIÓN O ACTUALIZACIÓN DE DATOS EN EL REGISTRO DE PATENTES.-  </w:t>
      </w:r>
      <w:r w:rsidRPr="002C4ED8">
        <w:rPr>
          <w:rFonts w:ascii="Times New Roman" w:hAnsi="Times New Roman"/>
        </w:rPr>
        <w:t xml:space="preserve">Quienes estando obligados a inscribirse en el Registro de Patentes y a la actualización de la información   no lo hicieren dentro del plazo señalado en esta Ordenanza en los artículos 4 y 5 respectivamente,  serán sancionadas con una multa de 30,00 hasta 1.000,00 dólares de los </w:t>
      </w:r>
      <w:r w:rsidR="00D3216C" w:rsidRPr="002C4ED8">
        <w:rPr>
          <w:rFonts w:ascii="Times New Roman" w:hAnsi="Times New Roman"/>
        </w:rPr>
        <w:t>Estados Unidos de América.  La A</w:t>
      </w:r>
      <w:r w:rsidRPr="002C4ED8">
        <w:rPr>
          <w:rFonts w:ascii="Times New Roman" w:hAnsi="Times New Roman"/>
        </w:rPr>
        <w:t>utoridad municipal facultada para imponer la sanción,  graduará  la misma considerando los elementos atenuantes o agravantes que existan y además, el perjuicio causado por la infracción.  El pago de la multa no exime del cumplimiento del  deber formal que la motivó.</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000000"/>
        </w:rPr>
        <w:t>Art</w:t>
      </w:r>
      <w:r w:rsidR="00B0423B">
        <w:rPr>
          <w:rFonts w:ascii="Times New Roman" w:hAnsi="Times New Roman"/>
          <w:b/>
          <w:bCs/>
          <w:color w:val="333333"/>
          <w:lang w:eastAsia="es-ES"/>
        </w:rPr>
        <w:t>. 21.-  SANCIONES POR ACTOS DE DETERMINACIÓ</w:t>
      </w:r>
      <w:r w:rsidRPr="002C4ED8">
        <w:rPr>
          <w:rFonts w:ascii="Times New Roman" w:hAnsi="Times New Roman"/>
          <w:b/>
          <w:bCs/>
          <w:color w:val="333333"/>
          <w:lang w:eastAsia="es-ES"/>
        </w:rPr>
        <w:t xml:space="preserve">N.- </w:t>
      </w:r>
      <w:r w:rsidRPr="002C4ED8">
        <w:rPr>
          <w:rFonts w:ascii="Times New Roman" w:hAnsi="Times New Roman"/>
        </w:rPr>
        <w:t>Cuando al realizar actos de determinación la administración compruebe que los sujetos pasivos del impuesto de patentes municipales no han presentado las declaraciones a las que están obligados, les sancionará, sin necesidad de resolución administrativa previa, con una multa equivalente al 3% mensual, que se calculará sobre el monto de los impuestos causados correspondientes al o a los períodos intervenidos, la misma que se liquidará directamente en las actas de determinación, para su cobro y que no excederá del valor de 1.000</w:t>
      </w:r>
      <w:r w:rsidR="006B32A9" w:rsidRPr="002C4ED8">
        <w:rPr>
          <w:rFonts w:ascii="Times New Roman" w:hAnsi="Times New Roman"/>
        </w:rPr>
        <w:t>,00</w:t>
      </w:r>
      <w:r w:rsidRPr="002C4ED8">
        <w:rPr>
          <w:rFonts w:ascii="Times New Roman" w:hAnsi="Times New Roman"/>
        </w:rPr>
        <w:t xml:space="preserve"> dólares de los Estados Unidos de América, por cada declaración</w:t>
      </w:r>
      <w:r w:rsidR="00B0423B">
        <w:rPr>
          <w:rFonts w:ascii="Times New Roman" w:hAnsi="Times New Roman"/>
        </w:rPr>
        <w:t xml:space="preserve"> que no se hubiere presentado. </w:t>
      </w:r>
      <w:r w:rsidRPr="002C4ED8">
        <w:rPr>
          <w:rFonts w:ascii="Times New Roman" w:hAnsi="Times New Roman"/>
        </w:rPr>
        <w:t xml:space="preserve">Si en el proceso determinativo se establece que el contribuyente no causó impuesto, la multa por falta de declaración será de 30,00 dólares de los Estados Unidos de América. </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000000"/>
        </w:rPr>
        <w:t>Art</w:t>
      </w:r>
      <w:r w:rsidRPr="002C4ED8">
        <w:rPr>
          <w:rFonts w:ascii="Times New Roman" w:hAnsi="Times New Roman"/>
          <w:b/>
          <w:bCs/>
          <w:color w:val="333333"/>
          <w:lang w:eastAsia="es-ES"/>
        </w:rPr>
        <w:t xml:space="preserve">. 22.-  SANCIÓN PARA LOS SUJETOS PASIVOS O TERCEROS.-  </w:t>
      </w:r>
      <w:r w:rsidRPr="002C4ED8">
        <w:rPr>
          <w:rFonts w:ascii="Times New Roman" w:hAnsi="Times New Roman"/>
        </w:rPr>
        <w:t xml:space="preserve"> Las personas naturales o jurídicas, nacionales o extranjeras domiciliadas en el país así como los terceros, que habiendo sido requeridos por la Administración Tributaria  no proporci</w:t>
      </w:r>
      <w:r w:rsidR="00D3216C" w:rsidRPr="002C4ED8">
        <w:rPr>
          <w:rFonts w:ascii="Times New Roman" w:hAnsi="Times New Roman"/>
        </w:rPr>
        <w:t xml:space="preserve">onen  o exhiban  información, </w:t>
      </w:r>
      <w:r w:rsidRPr="002C4ED8">
        <w:rPr>
          <w:rFonts w:ascii="Times New Roman" w:hAnsi="Times New Roman"/>
        </w:rPr>
        <w:t>no compar</w:t>
      </w:r>
      <w:r w:rsidR="00D3216C" w:rsidRPr="002C4ED8">
        <w:rPr>
          <w:rFonts w:ascii="Times New Roman" w:hAnsi="Times New Roman"/>
        </w:rPr>
        <w:t xml:space="preserve">ezcan o </w:t>
      </w:r>
      <w:r w:rsidRPr="002C4ED8">
        <w:rPr>
          <w:rFonts w:ascii="Times New Roman" w:hAnsi="Times New Roman"/>
        </w:rPr>
        <w:t>no faciliten a los funcionarios competentes las inspecciones o verificaciones  tendientes al contro</w:t>
      </w:r>
      <w:r w:rsidR="00D3216C" w:rsidRPr="002C4ED8">
        <w:rPr>
          <w:rFonts w:ascii="Times New Roman" w:hAnsi="Times New Roman"/>
        </w:rPr>
        <w:t xml:space="preserve">l o determinación del impuesto </w:t>
      </w:r>
      <w:r w:rsidRPr="002C4ED8">
        <w:rPr>
          <w:rFonts w:ascii="Times New Roman" w:hAnsi="Times New Roman"/>
        </w:rPr>
        <w:t>dentro del plazo otorgado para el efecto, serán sancionadas con una multa de 30,00 hasta 1.000,00 dólares de los Estados Unidos de América.  La Dirección Financiera,  graduará  la misma considerando los elementos atenuantes o agravantes que existan y además, el perjuicio causado por la infracción. El pago de la multa no exime del cumplimiento del  deber formal que la motivó.</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spacing w:after="0" w:line="240" w:lineRule="auto"/>
        <w:jc w:val="both"/>
        <w:rPr>
          <w:rFonts w:ascii="Times New Roman" w:hAnsi="Times New Roman"/>
        </w:rPr>
      </w:pPr>
      <w:r w:rsidRPr="002C4ED8">
        <w:rPr>
          <w:rFonts w:ascii="Times New Roman" w:hAnsi="Times New Roman"/>
          <w:b/>
          <w:bCs/>
          <w:color w:val="333333"/>
          <w:lang w:eastAsia="es-ES"/>
        </w:rPr>
        <w:t xml:space="preserve">Art. 23.- RECARGOS.-  </w:t>
      </w:r>
      <w:r w:rsidRPr="002C4ED8">
        <w:rPr>
          <w:rFonts w:ascii="Times New Roman" w:hAnsi="Times New Roman"/>
        </w:rPr>
        <w:t>La obligación tributaria que fue  determinada por el sujeto activo, en todos los casos en que ejerza su potestad determinadora por falta de declaración del sujeto pasivo,  causará un recargo del 20% sobre el principal, conforme a lo establecido en el Código Orgánico Tributario.</w:t>
      </w:r>
    </w:p>
    <w:p w:rsidR="00FA3913" w:rsidRPr="002C4ED8" w:rsidRDefault="00FA3913" w:rsidP="006B32A9">
      <w:pPr>
        <w:spacing w:after="0" w:line="240" w:lineRule="auto"/>
        <w:jc w:val="center"/>
        <w:rPr>
          <w:rFonts w:ascii="Times New Roman" w:hAnsi="Times New Roman"/>
        </w:rPr>
      </w:pP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CAPITULO VIII</w:t>
      </w:r>
    </w:p>
    <w:p w:rsidR="00FA3913" w:rsidRPr="002C4ED8" w:rsidRDefault="00FA3913" w:rsidP="006B32A9">
      <w:pPr>
        <w:spacing w:after="0" w:line="240" w:lineRule="auto"/>
        <w:jc w:val="center"/>
        <w:rPr>
          <w:rFonts w:ascii="Times New Roman" w:hAnsi="Times New Roman"/>
          <w:b/>
          <w:color w:val="333333"/>
          <w:lang w:eastAsia="es-ES"/>
        </w:rPr>
      </w:pPr>
      <w:r w:rsidRPr="002C4ED8">
        <w:rPr>
          <w:rFonts w:ascii="Times New Roman" w:hAnsi="Times New Roman"/>
          <w:b/>
          <w:color w:val="333333"/>
          <w:lang w:eastAsia="es-ES"/>
        </w:rPr>
        <w:t>DISPOSICIONES GENERALES</w:t>
      </w:r>
    </w:p>
    <w:p w:rsidR="00FA3913" w:rsidRPr="002C4ED8" w:rsidRDefault="00FA3913" w:rsidP="006B32A9">
      <w:pPr>
        <w:spacing w:after="0" w:line="240" w:lineRule="auto"/>
        <w:jc w:val="center"/>
        <w:rPr>
          <w:rFonts w:ascii="Times New Roman" w:hAnsi="Times New Roman"/>
          <w:b/>
          <w:color w:val="333333"/>
          <w:lang w:eastAsia="es-ES"/>
        </w:rPr>
      </w:pPr>
    </w:p>
    <w:p w:rsidR="00FA3913" w:rsidRPr="002C4ED8" w:rsidRDefault="00B0423B" w:rsidP="006B32A9">
      <w:pPr>
        <w:spacing w:after="0" w:line="240" w:lineRule="auto"/>
        <w:jc w:val="both"/>
        <w:rPr>
          <w:rFonts w:ascii="Times New Roman" w:hAnsi="Times New Roman"/>
          <w:color w:val="333333"/>
          <w:lang w:eastAsia="es-ES"/>
        </w:rPr>
      </w:pPr>
      <w:r>
        <w:rPr>
          <w:rFonts w:ascii="Times New Roman" w:hAnsi="Times New Roman"/>
          <w:b/>
          <w:bCs/>
          <w:color w:val="333333"/>
          <w:lang w:eastAsia="es-ES"/>
        </w:rPr>
        <w:t>PRIMERA</w:t>
      </w:r>
      <w:r w:rsidR="00FA3913" w:rsidRPr="002C4ED8">
        <w:rPr>
          <w:rFonts w:ascii="Times New Roman" w:hAnsi="Times New Roman"/>
          <w:b/>
          <w:bCs/>
          <w:color w:val="333333"/>
          <w:lang w:eastAsia="es-ES"/>
        </w:rPr>
        <w:t>.- DEBERES FORMALES.-</w:t>
      </w:r>
      <w:r w:rsidR="00FA3913" w:rsidRPr="002C4ED8">
        <w:rPr>
          <w:rFonts w:ascii="Times New Roman" w:hAnsi="Times New Roman"/>
          <w:color w:val="333333"/>
          <w:lang w:eastAsia="es-ES"/>
        </w:rPr>
        <w:t xml:space="preserve"> Los sujetos pasivos del impuesto de patente están obligados a cumplir con los deberes formales establecidos en el Código Orgánico Tributario, especialmente con los siguientes:</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Inscribirse en el registro de patentes, proporcionando los datos necesarios relativos a su actividad; y, comunicar oportunamente los cambios que se operen;</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Llevar los libros y registros contables relacionados con la correspondiente actividad económica, en idioma castellano; anotar, en moneda de curso legal, sus operaciones o transacciones y conservar tales libros y registros, mientras la obligación tributaria no esté prescrita;</w:t>
      </w:r>
    </w:p>
    <w:p w:rsidR="00FA3913" w:rsidRPr="002C4ED8" w:rsidRDefault="00FA3913" w:rsidP="006B32A9">
      <w:pPr>
        <w:pStyle w:val="Prrafodelista1"/>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 xml:space="preserve">Presentar las declaraciones que correspondan; y, </w:t>
      </w:r>
    </w:p>
    <w:p w:rsidR="00FA3913" w:rsidRPr="002C4ED8" w:rsidRDefault="00FA3913" w:rsidP="006B32A9">
      <w:pPr>
        <w:pStyle w:val="Prrafodelista1"/>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Cumplir con los deberes específicos que la respectiva ley tributaria establezca.</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Facilitar a los funcionarios autorizados las inspecciones o verificaciones, tendientes al control o a la determinación del tributo.</w:t>
      </w:r>
    </w:p>
    <w:p w:rsidR="00FA3913" w:rsidRPr="002C4ED8" w:rsidRDefault="00FA3913" w:rsidP="006B32A9">
      <w:pPr>
        <w:spacing w:after="0" w:line="240" w:lineRule="auto"/>
        <w:jc w:val="both"/>
        <w:rPr>
          <w:rFonts w:ascii="Times New Roman" w:hAnsi="Times New Roman"/>
        </w:rPr>
      </w:pPr>
    </w:p>
    <w:p w:rsidR="00FA3913" w:rsidRPr="002C4ED8" w:rsidRDefault="00FA3913" w:rsidP="006B32A9">
      <w:pPr>
        <w:numPr>
          <w:ilvl w:val="0"/>
          <w:numId w:val="3"/>
        </w:numPr>
        <w:spacing w:after="0" w:line="240" w:lineRule="auto"/>
        <w:jc w:val="both"/>
        <w:rPr>
          <w:rFonts w:ascii="Times New Roman" w:hAnsi="Times New Roman"/>
        </w:rPr>
      </w:pPr>
      <w:r w:rsidRPr="002C4ED8">
        <w:rPr>
          <w:rFonts w:ascii="Times New Roman" w:hAnsi="Times New Roman"/>
        </w:rPr>
        <w:t>Exhibir a los funcionarios respectivos, las declaraciones, informes, libros y documentos relacionados con los hechos generadores de obligaciones tributarias y formular las aclaraciones que les fueren solicitadas.</w:t>
      </w:r>
    </w:p>
    <w:p w:rsidR="00FA3913" w:rsidRPr="002C4ED8" w:rsidRDefault="00FA3913" w:rsidP="006B32A9">
      <w:pPr>
        <w:spacing w:after="0" w:line="240" w:lineRule="auto"/>
        <w:ind w:left="360"/>
        <w:jc w:val="both"/>
        <w:rPr>
          <w:rFonts w:ascii="Times New Roman" w:hAnsi="Times New Roman"/>
        </w:rPr>
      </w:pPr>
    </w:p>
    <w:p w:rsidR="00FA3913" w:rsidRPr="002C4ED8" w:rsidRDefault="00FA3913" w:rsidP="006B32A9">
      <w:pPr>
        <w:pStyle w:val="Textoindependiente"/>
        <w:numPr>
          <w:ilvl w:val="0"/>
          <w:numId w:val="3"/>
        </w:numPr>
        <w:rPr>
          <w:rFonts w:eastAsia="Times New Roman"/>
          <w:sz w:val="22"/>
          <w:szCs w:val="22"/>
          <w:lang w:eastAsia="en-US"/>
        </w:rPr>
      </w:pPr>
      <w:r w:rsidRPr="002C4ED8">
        <w:rPr>
          <w:rFonts w:eastAsia="Times New Roman"/>
          <w:sz w:val="22"/>
          <w:szCs w:val="22"/>
          <w:lang w:eastAsia="en-US"/>
        </w:rPr>
        <w:t>Concurrir a las oficinas de la administración tributaria, cuando su presencia sea requerida por autoridad competente.</w:t>
      </w:r>
    </w:p>
    <w:p w:rsidR="00FA3913" w:rsidRPr="002C4ED8" w:rsidRDefault="00FA3913" w:rsidP="006B32A9">
      <w:pPr>
        <w:spacing w:after="0" w:line="240" w:lineRule="auto"/>
        <w:jc w:val="both"/>
        <w:rPr>
          <w:rFonts w:ascii="Times New Roman" w:hAnsi="Times New Roman"/>
          <w:color w:val="333333"/>
          <w:lang w:eastAsia="es-ES"/>
        </w:rPr>
      </w:pPr>
    </w:p>
    <w:p w:rsidR="00FA3913" w:rsidRPr="002C4ED8" w:rsidRDefault="00B0423B" w:rsidP="006B32A9">
      <w:pPr>
        <w:spacing w:after="0" w:line="240" w:lineRule="auto"/>
        <w:jc w:val="both"/>
        <w:rPr>
          <w:rFonts w:ascii="Times New Roman" w:hAnsi="Times New Roman"/>
        </w:rPr>
      </w:pPr>
      <w:r>
        <w:rPr>
          <w:rFonts w:ascii="Times New Roman" w:hAnsi="Times New Roman"/>
          <w:b/>
          <w:bCs/>
          <w:color w:val="333333"/>
          <w:lang w:eastAsia="es-ES"/>
        </w:rPr>
        <w:t>SEGUNDA</w:t>
      </w:r>
      <w:r w:rsidR="00FA3913" w:rsidRPr="002C4ED8">
        <w:rPr>
          <w:rFonts w:ascii="Times New Roman" w:hAnsi="Times New Roman"/>
          <w:b/>
          <w:bCs/>
          <w:color w:val="333333"/>
          <w:lang w:eastAsia="es-ES"/>
        </w:rPr>
        <w:t>.- DEFINICION DE SOCIEDADES</w:t>
      </w:r>
      <w:r w:rsidR="00FA3913" w:rsidRPr="002C4ED8">
        <w:rPr>
          <w:rFonts w:ascii="Times New Roman" w:hAnsi="Times New Roman"/>
        </w:rPr>
        <w:t>.- Para efectos de esta Ordenanza  el término sociedad comprende la persona jurídica; la sociedad de hecho; el fideicomiso mercantil y los patrimonios independientes o autónomos dotados o no de personería jurídica, salvo los constituidos por las Instituciones del Estado siempre y cuando los beneficiarios sean dichas instituciones; el consorcio de empresas, la compañía tenedora de acciones que consolide sus estados financieros con sus subsidiarias o afiliadas; el fondo de inversión o cualquier entidad que, aunque carente de personería jurídica, constituya una unidad económica o un patrimonio independiente de los de sus miembros.</w:t>
      </w:r>
    </w:p>
    <w:p w:rsidR="00FA3913" w:rsidRPr="002C4ED8" w:rsidRDefault="00FA3913" w:rsidP="006B32A9">
      <w:pPr>
        <w:spacing w:after="0" w:line="240" w:lineRule="auto"/>
        <w:jc w:val="both"/>
        <w:rPr>
          <w:rFonts w:ascii="Times New Roman" w:hAnsi="Times New Roman"/>
        </w:rPr>
      </w:pPr>
    </w:p>
    <w:p w:rsidR="00FA3913" w:rsidRPr="002C4ED8" w:rsidRDefault="00B0423B" w:rsidP="006B32A9">
      <w:pPr>
        <w:spacing w:after="0" w:line="240" w:lineRule="auto"/>
        <w:jc w:val="both"/>
        <w:rPr>
          <w:rFonts w:ascii="Times New Roman" w:hAnsi="Times New Roman"/>
        </w:rPr>
      </w:pPr>
      <w:r>
        <w:rPr>
          <w:rFonts w:ascii="Times New Roman" w:hAnsi="Times New Roman"/>
          <w:b/>
          <w:bCs/>
          <w:color w:val="333333"/>
          <w:lang w:eastAsia="es-ES"/>
        </w:rPr>
        <w:t>TERCERA</w:t>
      </w:r>
      <w:r w:rsidR="00FA3913" w:rsidRPr="002C4ED8">
        <w:rPr>
          <w:rFonts w:ascii="Times New Roman" w:hAnsi="Times New Roman"/>
          <w:b/>
          <w:bCs/>
          <w:color w:val="333333"/>
          <w:lang w:eastAsia="es-ES"/>
        </w:rPr>
        <w:t xml:space="preserve">.- </w:t>
      </w:r>
      <w:r>
        <w:rPr>
          <w:rFonts w:ascii="Times New Roman" w:hAnsi="Times New Roman"/>
          <w:b/>
          <w:bCs/>
          <w:color w:val="333333"/>
          <w:lang w:eastAsia="es-ES"/>
        </w:rPr>
        <w:t xml:space="preserve">RECLAMOS.- </w:t>
      </w:r>
      <w:r w:rsidR="00FA3913" w:rsidRPr="002C4ED8">
        <w:rPr>
          <w:rFonts w:ascii="Times New Roman" w:hAnsi="Times New Roman"/>
        </w:rPr>
        <w:t xml:space="preserve">Los contribuyentes, responsables, o terceros que se creyeren afectados, en todo o en parte, por un acto determinativo de obligación tributaria, por verificación de una declaración, estimación de oficio o liquidación o los sancionados por contravención o falta reglamentaria, podrán presentar su reclamo ante la autoridad de la que emane el acto, dentro del plazo de veinte días, contados desde el día hábil siguiente al de la notificación respectiva, conforme lo dispuesto en el Código Orgánico Tributario. </w:t>
      </w:r>
    </w:p>
    <w:p w:rsidR="00FA3913" w:rsidRPr="002C4ED8" w:rsidRDefault="00FA3913" w:rsidP="006B32A9">
      <w:pPr>
        <w:spacing w:after="0" w:line="240" w:lineRule="auto"/>
        <w:jc w:val="both"/>
        <w:rPr>
          <w:rFonts w:ascii="Times New Roman" w:hAnsi="Times New Roman"/>
          <w:b/>
          <w:color w:val="FF0000"/>
        </w:rPr>
      </w:pPr>
    </w:p>
    <w:p w:rsidR="00B0423B" w:rsidRDefault="00B0423B" w:rsidP="00B0423B">
      <w:pPr>
        <w:spacing w:after="0" w:line="240" w:lineRule="auto"/>
        <w:jc w:val="both"/>
        <w:rPr>
          <w:rFonts w:ascii="Times New Roman" w:hAnsi="Times New Roman"/>
          <w:lang w:val="es-EC" w:eastAsia="es-EC"/>
        </w:rPr>
      </w:pPr>
      <w:r>
        <w:rPr>
          <w:rFonts w:ascii="Times New Roman" w:hAnsi="Times New Roman"/>
          <w:b/>
          <w:bCs/>
          <w:lang w:eastAsia="es-EC"/>
        </w:rPr>
        <w:lastRenderedPageBreak/>
        <w:t xml:space="preserve">DEROGATORIA.- </w:t>
      </w:r>
      <w:r w:rsidR="007B0501" w:rsidRPr="002C4ED8">
        <w:rPr>
          <w:rFonts w:ascii="Times New Roman" w:hAnsi="Times New Roman"/>
          <w:bCs/>
          <w:color w:val="333333"/>
          <w:lang w:eastAsia="es-ES"/>
        </w:rPr>
        <w:t>Queda derogada la Ordenanza que Reglamenta la determinación, administración, control y recaudación del impuesto de patentes municipales publicada en el Registro Oficial No. 352 del 30 de diciembre</w:t>
      </w:r>
      <w:r w:rsidR="007B0501" w:rsidRPr="002C4ED8">
        <w:rPr>
          <w:rFonts w:ascii="Times New Roman" w:hAnsi="Times New Roman"/>
          <w:lang w:val="es-EC"/>
        </w:rPr>
        <w:t xml:space="preserve"> del 2010.</w:t>
      </w:r>
    </w:p>
    <w:p w:rsidR="00B0423B" w:rsidRDefault="00B0423B" w:rsidP="007B0501">
      <w:pPr>
        <w:spacing w:after="0" w:line="240" w:lineRule="auto"/>
        <w:jc w:val="both"/>
        <w:rPr>
          <w:rFonts w:ascii="Times New Roman" w:hAnsi="Times New Roman"/>
          <w:lang w:val="es-EC"/>
        </w:rPr>
      </w:pPr>
    </w:p>
    <w:p w:rsidR="001F7BA0" w:rsidRPr="00B0423B" w:rsidRDefault="00B0423B" w:rsidP="001F7BA0">
      <w:pPr>
        <w:spacing w:after="0" w:line="240" w:lineRule="auto"/>
        <w:jc w:val="both"/>
        <w:rPr>
          <w:rFonts w:ascii="Times New Roman" w:hAnsi="Times New Roman"/>
          <w:b/>
          <w:color w:val="FF0000"/>
        </w:rPr>
      </w:pPr>
      <w:r w:rsidRPr="00B0423B">
        <w:rPr>
          <w:rFonts w:ascii="Times New Roman" w:hAnsi="Times New Roman"/>
          <w:b/>
          <w:lang w:val="es-EC"/>
        </w:rPr>
        <w:t>DISPOSICIÓN FINAL</w:t>
      </w:r>
      <w:r>
        <w:rPr>
          <w:rFonts w:ascii="Times New Roman" w:hAnsi="Times New Roman"/>
          <w:b/>
          <w:lang w:val="es-EC"/>
        </w:rPr>
        <w:t xml:space="preserve">.- </w:t>
      </w:r>
      <w:r w:rsidR="001F7BA0" w:rsidRPr="002C4ED8">
        <w:rPr>
          <w:rFonts w:ascii="Times New Roman" w:hAnsi="Times New Roman"/>
          <w:lang w:eastAsia="es-EC"/>
        </w:rPr>
        <w:t>La presente Ordenanza empezará a regir a partir del primero de enero de dos mil doce, sin perjuicio de su publicación en Registro Oficial.</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xml:space="preserve">Dado y firmado, en la Sala de Sesiones del Ilustre Concejo Cantonal de Cuenca, a los </w:t>
      </w:r>
      <w:r w:rsidR="00D3216C" w:rsidRPr="002C4ED8">
        <w:rPr>
          <w:rFonts w:ascii="Times New Roman" w:hAnsi="Times New Roman"/>
          <w:lang w:eastAsia="es-EC"/>
        </w:rPr>
        <w:t xml:space="preserve">22 </w:t>
      </w:r>
      <w:r w:rsidRPr="002C4ED8">
        <w:rPr>
          <w:rFonts w:ascii="Times New Roman" w:hAnsi="Times New Roman"/>
          <w:lang w:eastAsia="es-EC"/>
        </w:rPr>
        <w:t xml:space="preserve">días del mes de </w:t>
      </w:r>
      <w:r w:rsidR="007B0501" w:rsidRPr="002C4ED8">
        <w:rPr>
          <w:rFonts w:ascii="Times New Roman" w:hAnsi="Times New Roman"/>
          <w:lang w:eastAsia="es-EC"/>
        </w:rPr>
        <w:t>noviembre de 2011</w:t>
      </w:r>
      <w:r w:rsidRPr="002C4ED8">
        <w:rPr>
          <w:rFonts w:ascii="Times New Roman" w:hAnsi="Times New Roman"/>
          <w:lang w:eastAsia="es-EC"/>
        </w:rPr>
        <w:t>.</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xml:space="preserve">    Paúl Granda López                                             </w:t>
      </w:r>
      <w:r w:rsidR="002C4ED8" w:rsidRPr="002C4ED8">
        <w:rPr>
          <w:rFonts w:ascii="Times New Roman" w:hAnsi="Times New Roman"/>
          <w:lang w:eastAsia="es-EC"/>
        </w:rPr>
        <w:t xml:space="preserve">              </w:t>
      </w:r>
      <w:r w:rsidR="002C4ED8">
        <w:rPr>
          <w:rFonts w:ascii="Times New Roman" w:hAnsi="Times New Roman"/>
          <w:lang w:eastAsia="es-EC"/>
        </w:rPr>
        <w:t xml:space="preserve">               </w:t>
      </w:r>
      <w:r w:rsidRPr="002C4ED8">
        <w:rPr>
          <w:rFonts w:ascii="Times New Roman" w:hAnsi="Times New Roman"/>
          <w:lang w:eastAsia="es-EC"/>
        </w:rPr>
        <w:t>Dra. Lorena Cazar Almache</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b/>
          <w:bCs/>
          <w:lang w:eastAsia="es-EC"/>
        </w:rPr>
        <w:t xml:space="preserve">ALCALDE DE CUENCA                               </w:t>
      </w:r>
      <w:r w:rsidR="002C4ED8" w:rsidRPr="002C4ED8">
        <w:rPr>
          <w:rFonts w:ascii="Times New Roman" w:hAnsi="Times New Roman"/>
          <w:b/>
          <w:bCs/>
          <w:lang w:eastAsia="es-EC"/>
        </w:rPr>
        <w:t xml:space="preserve">                 </w:t>
      </w:r>
      <w:r w:rsidR="002C4ED8">
        <w:rPr>
          <w:rFonts w:ascii="Times New Roman" w:hAnsi="Times New Roman"/>
          <w:b/>
          <w:bCs/>
          <w:lang w:eastAsia="es-EC"/>
        </w:rPr>
        <w:t xml:space="preserve">             </w:t>
      </w:r>
      <w:r w:rsidRPr="002C4ED8">
        <w:rPr>
          <w:rFonts w:ascii="Times New Roman" w:hAnsi="Times New Roman"/>
          <w:b/>
          <w:bCs/>
          <w:lang w:eastAsia="es-EC"/>
        </w:rPr>
        <w:t>SECRETARIA DEL ILUSTRE</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b/>
          <w:bCs/>
          <w:lang w:eastAsia="es-EC"/>
        </w:rPr>
        <w:t xml:space="preserve">                                                                                 </w:t>
      </w:r>
      <w:r w:rsidR="002C4ED8" w:rsidRPr="002C4ED8">
        <w:rPr>
          <w:rFonts w:ascii="Times New Roman" w:hAnsi="Times New Roman"/>
          <w:b/>
          <w:bCs/>
          <w:lang w:eastAsia="es-EC"/>
        </w:rPr>
        <w:t xml:space="preserve">            </w:t>
      </w:r>
      <w:r w:rsidR="002C4ED8">
        <w:rPr>
          <w:rFonts w:ascii="Times New Roman" w:hAnsi="Times New Roman"/>
          <w:b/>
          <w:bCs/>
          <w:lang w:eastAsia="es-EC"/>
        </w:rPr>
        <w:t xml:space="preserve">                  </w:t>
      </w:r>
      <w:r w:rsidRPr="002C4ED8">
        <w:rPr>
          <w:rFonts w:ascii="Times New Roman" w:hAnsi="Times New Roman"/>
          <w:b/>
          <w:bCs/>
          <w:lang w:eastAsia="es-EC"/>
        </w:rPr>
        <w:t>CONCEJO CANTONAL</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b/>
          <w:bCs/>
          <w:lang w:eastAsia="es-EC"/>
        </w:rPr>
        <w:t>CERTIFICADO DE DISCUSIÓN</w:t>
      </w:r>
      <w:r w:rsidR="007B0501" w:rsidRPr="002C4ED8">
        <w:rPr>
          <w:rFonts w:ascii="Times New Roman" w:hAnsi="Times New Roman"/>
          <w:lang w:eastAsia="es-EC"/>
        </w:rPr>
        <w:t>: Certifico</w:t>
      </w:r>
      <w:r w:rsidRPr="002C4ED8">
        <w:rPr>
          <w:rFonts w:ascii="Times New Roman" w:hAnsi="Times New Roman"/>
          <w:lang w:eastAsia="es-EC"/>
        </w:rPr>
        <w:t xml:space="preserve"> que la presente Ordenanza fue conocida, discutida y aprobada por el Ilustre Concejo Canto</w:t>
      </w:r>
      <w:r w:rsidR="007B0501" w:rsidRPr="002C4ED8">
        <w:rPr>
          <w:rFonts w:ascii="Times New Roman" w:hAnsi="Times New Roman"/>
          <w:lang w:eastAsia="es-EC"/>
        </w:rPr>
        <w:t>nal en Primero y Segundo Debate</w:t>
      </w:r>
      <w:r w:rsidRPr="002C4ED8">
        <w:rPr>
          <w:rFonts w:ascii="Times New Roman" w:hAnsi="Times New Roman"/>
          <w:lang w:eastAsia="es-EC"/>
        </w:rPr>
        <w:t>, en sus sesiones: ordinaria del 17 de noviembre y extraordinaria del 22 de noviembre del 2011.- Cuenca, 24 de noviembre de 2011.</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Dra. Lorena Cazar Almache</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SECRETARIA DEL ILUSTRE</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CONCEJO CANTONAL</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b/>
          <w:bCs/>
          <w:lang w:eastAsia="es-EC"/>
        </w:rPr>
        <w:t>ALCALDIA DE CUENCA</w:t>
      </w:r>
      <w:r w:rsidRPr="002C4ED8">
        <w:rPr>
          <w:rFonts w:ascii="Times New Roman" w:hAnsi="Times New Roman"/>
          <w:lang w:eastAsia="es-EC"/>
        </w:rPr>
        <w:t>.- Ejecútese y publíquese.- Cuenca, 24 de noviembre de 2011.</w:t>
      </w:r>
    </w:p>
    <w:p w:rsidR="001F7BA0" w:rsidRDefault="001F7BA0" w:rsidP="001F7BA0">
      <w:pPr>
        <w:spacing w:after="0" w:line="240" w:lineRule="auto"/>
        <w:jc w:val="both"/>
        <w:rPr>
          <w:rFonts w:ascii="Times New Roman" w:hAnsi="Times New Roman"/>
          <w:lang w:eastAsia="es-EC"/>
        </w:rPr>
      </w:pPr>
      <w:r w:rsidRPr="002C4ED8">
        <w:rPr>
          <w:rFonts w:ascii="Times New Roman" w:hAnsi="Times New Roman"/>
          <w:lang w:eastAsia="es-EC"/>
        </w:rPr>
        <w:t> </w:t>
      </w:r>
    </w:p>
    <w:p w:rsidR="002C4ED8" w:rsidRPr="002C4ED8" w:rsidRDefault="002C4ED8" w:rsidP="001F7BA0">
      <w:pPr>
        <w:spacing w:after="0" w:line="240" w:lineRule="auto"/>
        <w:jc w:val="both"/>
        <w:rPr>
          <w:rFonts w:ascii="Times New Roman" w:hAnsi="Times New Roman"/>
          <w:lang w:val="es-EC" w:eastAsia="es-EC"/>
        </w:rPr>
      </w:pP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Dr. Paúl Granda López</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ALCALDE DE CUENCA</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Proveyó y firmó el decreto que antecede el Dr. Paúl Granda López, Alcalde de Cuenca, a los veinte y cuatro días del mes de noviembre del dos mil once.- Cuenca, 24 de noviembre de 2011.</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both"/>
        <w:rPr>
          <w:rFonts w:ascii="Times New Roman" w:hAnsi="Times New Roman"/>
          <w:lang w:val="es-EC" w:eastAsia="es-EC"/>
        </w:rPr>
      </w:pPr>
      <w:r w:rsidRPr="002C4ED8">
        <w:rPr>
          <w:rFonts w:ascii="Times New Roman" w:hAnsi="Times New Roman"/>
          <w:lang w:eastAsia="es-EC"/>
        </w:rPr>
        <w:t> </w:t>
      </w:r>
    </w:p>
    <w:p w:rsidR="002C4ED8" w:rsidRDefault="002C4ED8" w:rsidP="001F7BA0">
      <w:pPr>
        <w:spacing w:after="0" w:line="240" w:lineRule="auto"/>
        <w:jc w:val="center"/>
        <w:rPr>
          <w:rFonts w:ascii="Times New Roman" w:hAnsi="Times New Roman"/>
          <w:lang w:eastAsia="es-EC"/>
        </w:rPr>
      </w:pP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 </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lang w:eastAsia="es-EC"/>
        </w:rPr>
        <w:t>Dra. Lorena Cazar Almache</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SECRETARIA DEL ILUSTRE</w:t>
      </w:r>
    </w:p>
    <w:p w:rsidR="001F7BA0" w:rsidRPr="002C4ED8" w:rsidRDefault="001F7BA0" w:rsidP="001F7BA0">
      <w:pPr>
        <w:spacing w:after="0" w:line="240" w:lineRule="auto"/>
        <w:jc w:val="center"/>
        <w:rPr>
          <w:rFonts w:ascii="Times New Roman" w:hAnsi="Times New Roman"/>
          <w:lang w:val="es-EC" w:eastAsia="es-EC"/>
        </w:rPr>
      </w:pPr>
      <w:r w:rsidRPr="002C4ED8">
        <w:rPr>
          <w:rFonts w:ascii="Times New Roman" w:hAnsi="Times New Roman"/>
          <w:b/>
          <w:bCs/>
          <w:lang w:eastAsia="es-EC"/>
        </w:rPr>
        <w:t>CONCEJO CANTONAL</w:t>
      </w:r>
    </w:p>
    <w:p w:rsidR="006B32A9" w:rsidRPr="002C4ED8" w:rsidRDefault="006B32A9" w:rsidP="006B32A9">
      <w:pPr>
        <w:spacing w:after="0" w:line="240" w:lineRule="auto"/>
        <w:jc w:val="both"/>
        <w:rPr>
          <w:rFonts w:ascii="Times New Roman" w:hAnsi="Times New Roman"/>
          <w:bCs/>
          <w:color w:val="333333"/>
          <w:lang w:eastAsia="es-ES"/>
        </w:rPr>
      </w:pPr>
    </w:p>
    <w:p w:rsidR="00620A5F" w:rsidRPr="002C4ED8" w:rsidRDefault="00131D78" w:rsidP="006B32A9">
      <w:pPr>
        <w:spacing w:line="240" w:lineRule="auto"/>
        <w:rPr>
          <w:rFonts w:ascii="Times New Roman" w:hAnsi="Times New Roman"/>
        </w:rPr>
      </w:pPr>
    </w:p>
    <w:sectPr w:rsidR="00620A5F" w:rsidRPr="002C4ED8">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D78" w:rsidRDefault="00131D78" w:rsidP="006B32A9">
      <w:pPr>
        <w:spacing w:after="0" w:line="240" w:lineRule="auto"/>
      </w:pPr>
      <w:r>
        <w:separator/>
      </w:r>
    </w:p>
  </w:endnote>
  <w:endnote w:type="continuationSeparator" w:id="0">
    <w:p w:rsidR="00131D78" w:rsidRDefault="00131D78" w:rsidP="006B3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4888"/>
      <w:docPartObj>
        <w:docPartGallery w:val="Page Numbers (Bottom of Page)"/>
        <w:docPartUnique/>
      </w:docPartObj>
    </w:sdtPr>
    <w:sdtEndPr>
      <w:rPr>
        <w:sz w:val="10"/>
        <w:szCs w:val="10"/>
      </w:rPr>
    </w:sdtEndPr>
    <w:sdtContent>
      <w:p w:rsidR="002C4ED8" w:rsidRPr="002C4ED8" w:rsidRDefault="002C4ED8">
        <w:pPr>
          <w:pStyle w:val="Piedepgina"/>
          <w:jc w:val="right"/>
          <w:rPr>
            <w:sz w:val="10"/>
            <w:szCs w:val="10"/>
          </w:rPr>
        </w:pPr>
        <w:r w:rsidRPr="002C4ED8">
          <w:rPr>
            <w:sz w:val="10"/>
            <w:szCs w:val="10"/>
          </w:rPr>
          <w:fldChar w:fldCharType="begin"/>
        </w:r>
        <w:r w:rsidRPr="002C4ED8">
          <w:rPr>
            <w:sz w:val="10"/>
            <w:szCs w:val="10"/>
          </w:rPr>
          <w:instrText>PAGE   \* MERGEFORMAT</w:instrText>
        </w:r>
        <w:r w:rsidRPr="002C4ED8">
          <w:rPr>
            <w:sz w:val="10"/>
            <w:szCs w:val="10"/>
          </w:rPr>
          <w:fldChar w:fldCharType="separate"/>
        </w:r>
        <w:r w:rsidR="00F25403">
          <w:rPr>
            <w:noProof/>
            <w:sz w:val="10"/>
            <w:szCs w:val="10"/>
          </w:rPr>
          <w:t>1</w:t>
        </w:r>
        <w:r w:rsidRPr="002C4ED8">
          <w:rPr>
            <w:sz w:val="10"/>
            <w:szCs w:val="10"/>
          </w:rPr>
          <w:fldChar w:fldCharType="end"/>
        </w:r>
      </w:p>
    </w:sdtContent>
  </w:sdt>
  <w:p w:rsidR="002C4ED8" w:rsidRDefault="002C4E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D78" w:rsidRDefault="00131D78" w:rsidP="006B32A9">
      <w:pPr>
        <w:spacing w:after="0" w:line="240" w:lineRule="auto"/>
      </w:pPr>
      <w:r>
        <w:separator/>
      </w:r>
    </w:p>
  </w:footnote>
  <w:footnote w:type="continuationSeparator" w:id="0">
    <w:p w:rsidR="00131D78" w:rsidRDefault="00131D78" w:rsidP="006B3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A9" w:rsidRDefault="006B32A9" w:rsidP="006B32A9">
    <w:pPr>
      <w:pStyle w:val="Encabezado"/>
      <w:jc w:val="center"/>
    </w:pPr>
    <w:r>
      <w:rPr>
        <w:noProof/>
        <w:lang w:val="es-EC" w:eastAsia="es-EC"/>
      </w:rPr>
      <w:drawing>
        <wp:inline distT="0" distB="0" distL="0" distR="0" wp14:anchorId="1137F2CA" wp14:editId="2A69E508">
          <wp:extent cx="1656715" cy="593725"/>
          <wp:effectExtent l="0" t="0" r="635" b="0"/>
          <wp:docPr id="1" name="Imagen 1" descr="Descripción: Descripción: Descripción: Descripción: Descripción: Descripción: Descripción: Descripción: Descripción: Descripción: Descripción: Descripción: Descripción: Descripción: Descripción: Descripción: Descripción: Descripción: Descripción: Descripción: Descripción: Descripción: Descripción: 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Descripción: Descripción: Descripción: Descripción: Descripción: Descripción: Descripción: Descripción: Descripción: Descripción: Descripción: Descripción: Descripción: Descripción: Descripción: Descripción: Descripción: logo Cuenc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03422"/>
    <w:multiLevelType w:val="hybridMultilevel"/>
    <w:tmpl w:val="A6769A5A"/>
    <w:lvl w:ilvl="0" w:tplc="0C0A0017">
      <w:start w:val="1"/>
      <w:numFmt w:val="lowerLetter"/>
      <w:lvlText w:val="%1)"/>
      <w:lvlJc w:val="left"/>
      <w:pPr>
        <w:ind w:left="360" w:hanging="360"/>
      </w:pPr>
      <w:rPr>
        <w:rFonts w:cs="Times New Roman"/>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
    <w:nsid w:val="421E2F77"/>
    <w:multiLevelType w:val="hybridMultilevel"/>
    <w:tmpl w:val="1CCE8B98"/>
    <w:lvl w:ilvl="0" w:tplc="B8EA9336">
      <w:start w:val="1"/>
      <w:numFmt w:val="lowerLetter"/>
      <w:lvlText w:val="%1)"/>
      <w:lvlJc w:val="left"/>
      <w:pPr>
        <w:ind w:left="644" w:hanging="360"/>
      </w:pPr>
      <w:rPr>
        <w:rFonts w:cs="Times New Roman"/>
        <w:color w:val="auto"/>
      </w:rPr>
    </w:lvl>
    <w:lvl w:ilvl="1" w:tplc="300A0019">
      <w:start w:val="1"/>
      <w:numFmt w:val="lowerLetter"/>
      <w:lvlText w:val="%2."/>
      <w:lvlJc w:val="left"/>
      <w:pPr>
        <w:ind w:left="1440" w:hanging="360"/>
      </w:pPr>
      <w:rPr>
        <w:rFonts w:cs="Times New Roman"/>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start w:val="1"/>
      <w:numFmt w:val="decimal"/>
      <w:lvlText w:val="%7."/>
      <w:lvlJc w:val="left"/>
      <w:pPr>
        <w:ind w:left="5040" w:hanging="360"/>
      </w:pPr>
      <w:rPr>
        <w:rFonts w:cs="Times New Roman"/>
      </w:rPr>
    </w:lvl>
    <w:lvl w:ilvl="7" w:tplc="300A0019">
      <w:start w:val="1"/>
      <w:numFmt w:val="lowerLetter"/>
      <w:lvlText w:val="%8."/>
      <w:lvlJc w:val="left"/>
      <w:pPr>
        <w:ind w:left="5760" w:hanging="360"/>
      </w:pPr>
      <w:rPr>
        <w:rFonts w:cs="Times New Roman"/>
      </w:rPr>
    </w:lvl>
    <w:lvl w:ilvl="8" w:tplc="300A001B">
      <w:start w:val="1"/>
      <w:numFmt w:val="lowerRoman"/>
      <w:lvlText w:val="%9."/>
      <w:lvlJc w:val="right"/>
      <w:pPr>
        <w:ind w:left="6480" w:hanging="180"/>
      </w:pPr>
      <w:rPr>
        <w:rFonts w:cs="Times New Roman"/>
      </w:rPr>
    </w:lvl>
  </w:abstractNum>
  <w:abstractNum w:abstractNumId="2">
    <w:nsid w:val="691D429A"/>
    <w:multiLevelType w:val="hybridMultilevel"/>
    <w:tmpl w:val="20ACAED2"/>
    <w:lvl w:ilvl="0" w:tplc="2B06E588">
      <w:start w:val="1"/>
      <w:numFmt w:val="lowerLetter"/>
      <w:lvlText w:val="%1)"/>
      <w:lvlJc w:val="left"/>
      <w:pPr>
        <w:ind w:left="555" w:hanging="495"/>
      </w:pPr>
      <w:rPr>
        <w:rFonts w:ascii="Times New Roman" w:hAnsi="Times New Roman" w:cs="Times New Roman" w:hint="default"/>
      </w:rPr>
    </w:lvl>
    <w:lvl w:ilvl="1" w:tplc="0C0A0019">
      <w:start w:val="1"/>
      <w:numFmt w:val="lowerLetter"/>
      <w:lvlText w:val="%2."/>
      <w:lvlJc w:val="left"/>
      <w:pPr>
        <w:ind w:left="1140" w:hanging="360"/>
      </w:pPr>
      <w:rPr>
        <w:rFonts w:cs="Times New Roman"/>
      </w:rPr>
    </w:lvl>
    <w:lvl w:ilvl="2" w:tplc="0C0A001B">
      <w:start w:val="1"/>
      <w:numFmt w:val="lowerRoman"/>
      <w:lvlText w:val="%3."/>
      <w:lvlJc w:val="right"/>
      <w:pPr>
        <w:ind w:left="1860" w:hanging="180"/>
      </w:pPr>
      <w:rPr>
        <w:rFonts w:cs="Times New Roman"/>
      </w:rPr>
    </w:lvl>
    <w:lvl w:ilvl="3" w:tplc="0C0A000F">
      <w:start w:val="1"/>
      <w:numFmt w:val="decimal"/>
      <w:lvlText w:val="%4."/>
      <w:lvlJc w:val="left"/>
      <w:pPr>
        <w:ind w:left="2580" w:hanging="360"/>
      </w:pPr>
      <w:rPr>
        <w:rFonts w:cs="Times New Roman"/>
      </w:rPr>
    </w:lvl>
    <w:lvl w:ilvl="4" w:tplc="0C0A0019">
      <w:start w:val="1"/>
      <w:numFmt w:val="lowerLetter"/>
      <w:lvlText w:val="%5."/>
      <w:lvlJc w:val="left"/>
      <w:pPr>
        <w:ind w:left="3300" w:hanging="360"/>
      </w:pPr>
      <w:rPr>
        <w:rFonts w:cs="Times New Roman"/>
      </w:rPr>
    </w:lvl>
    <w:lvl w:ilvl="5" w:tplc="0C0A001B">
      <w:start w:val="1"/>
      <w:numFmt w:val="lowerRoman"/>
      <w:lvlText w:val="%6."/>
      <w:lvlJc w:val="right"/>
      <w:pPr>
        <w:ind w:left="4020" w:hanging="180"/>
      </w:pPr>
      <w:rPr>
        <w:rFonts w:cs="Times New Roman"/>
      </w:rPr>
    </w:lvl>
    <w:lvl w:ilvl="6" w:tplc="0C0A000F">
      <w:start w:val="1"/>
      <w:numFmt w:val="decimal"/>
      <w:lvlText w:val="%7."/>
      <w:lvlJc w:val="left"/>
      <w:pPr>
        <w:ind w:left="4740" w:hanging="360"/>
      </w:pPr>
      <w:rPr>
        <w:rFonts w:cs="Times New Roman"/>
      </w:rPr>
    </w:lvl>
    <w:lvl w:ilvl="7" w:tplc="0C0A0019">
      <w:start w:val="1"/>
      <w:numFmt w:val="lowerLetter"/>
      <w:lvlText w:val="%8."/>
      <w:lvlJc w:val="left"/>
      <w:pPr>
        <w:ind w:left="5460" w:hanging="360"/>
      </w:pPr>
      <w:rPr>
        <w:rFonts w:cs="Times New Roman"/>
      </w:rPr>
    </w:lvl>
    <w:lvl w:ilvl="8" w:tplc="0C0A001B">
      <w:start w:val="1"/>
      <w:numFmt w:val="lowerRoman"/>
      <w:lvlText w:val="%9."/>
      <w:lvlJc w:val="right"/>
      <w:pPr>
        <w:ind w:left="61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13"/>
    <w:rsid w:val="00131D78"/>
    <w:rsid w:val="001B09B2"/>
    <w:rsid w:val="001F7BA0"/>
    <w:rsid w:val="002B2CEF"/>
    <w:rsid w:val="002C4ED8"/>
    <w:rsid w:val="00410305"/>
    <w:rsid w:val="006B32A9"/>
    <w:rsid w:val="007B0501"/>
    <w:rsid w:val="008B08A6"/>
    <w:rsid w:val="00984E40"/>
    <w:rsid w:val="00B0423B"/>
    <w:rsid w:val="00B221F9"/>
    <w:rsid w:val="00C366B3"/>
    <w:rsid w:val="00C84444"/>
    <w:rsid w:val="00D3216C"/>
    <w:rsid w:val="00F25403"/>
    <w:rsid w:val="00FA3018"/>
    <w:rsid w:val="00FA391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913"/>
    <w:rPr>
      <w:rFonts w:ascii="Calibri" w:eastAsia="Times New Roman"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unhideWhenUsed/>
    <w:rsid w:val="00FA3913"/>
    <w:pPr>
      <w:spacing w:after="0" w:line="240" w:lineRule="auto"/>
      <w:jc w:val="both"/>
    </w:pPr>
    <w:rPr>
      <w:rFonts w:ascii="Times New Roman" w:eastAsia="Calibri" w:hAnsi="Times New Roman"/>
      <w:sz w:val="24"/>
      <w:szCs w:val="24"/>
      <w:lang w:eastAsia="es-ES"/>
    </w:rPr>
  </w:style>
  <w:style w:type="character" w:customStyle="1" w:styleId="TextoindependienteCar">
    <w:name w:val="Texto independiente Car"/>
    <w:basedOn w:val="Fuentedeprrafopredeter"/>
    <w:link w:val="Textoindependiente"/>
    <w:semiHidden/>
    <w:rsid w:val="00FA3913"/>
    <w:rPr>
      <w:rFonts w:ascii="Times New Roman" w:eastAsia="Calibri" w:hAnsi="Times New Roman" w:cs="Times New Roman"/>
      <w:sz w:val="24"/>
      <w:szCs w:val="24"/>
      <w:lang w:val="es-ES" w:eastAsia="es-ES"/>
    </w:rPr>
  </w:style>
  <w:style w:type="paragraph" w:customStyle="1" w:styleId="Prrafodelista1">
    <w:name w:val="Párrafo de lista1"/>
    <w:basedOn w:val="Normal"/>
    <w:rsid w:val="00FA3913"/>
    <w:pPr>
      <w:ind w:left="720"/>
      <w:contextualSpacing/>
    </w:pPr>
  </w:style>
  <w:style w:type="paragraph" w:styleId="Encabezado">
    <w:name w:val="header"/>
    <w:basedOn w:val="Normal"/>
    <w:link w:val="EncabezadoCar"/>
    <w:uiPriority w:val="99"/>
    <w:unhideWhenUsed/>
    <w:rsid w:val="006B32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32A9"/>
    <w:rPr>
      <w:rFonts w:ascii="Calibri" w:eastAsia="Times New Roman" w:hAnsi="Calibri" w:cs="Times New Roman"/>
      <w:lang w:val="es-ES"/>
    </w:rPr>
  </w:style>
  <w:style w:type="paragraph" w:styleId="Piedepgina">
    <w:name w:val="footer"/>
    <w:basedOn w:val="Normal"/>
    <w:link w:val="PiedepginaCar"/>
    <w:uiPriority w:val="99"/>
    <w:unhideWhenUsed/>
    <w:rsid w:val="006B32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2A9"/>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6B3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2A9"/>
    <w:rPr>
      <w:rFonts w:ascii="Tahoma" w:eastAsia="Times New Roman"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913"/>
    <w:rPr>
      <w:rFonts w:ascii="Calibri" w:eastAsia="Times New Roman"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unhideWhenUsed/>
    <w:rsid w:val="00FA3913"/>
    <w:pPr>
      <w:spacing w:after="0" w:line="240" w:lineRule="auto"/>
      <w:jc w:val="both"/>
    </w:pPr>
    <w:rPr>
      <w:rFonts w:ascii="Times New Roman" w:eastAsia="Calibri" w:hAnsi="Times New Roman"/>
      <w:sz w:val="24"/>
      <w:szCs w:val="24"/>
      <w:lang w:eastAsia="es-ES"/>
    </w:rPr>
  </w:style>
  <w:style w:type="character" w:customStyle="1" w:styleId="TextoindependienteCar">
    <w:name w:val="Texto independiente Car"/>
    <w:basedOn w:val="Fuentedeprrafopredeter"/>
    <w:link w:val="Textoindependiente"/>
    <w:semiHidden/>
    <w:rsid w:val="00FA3913"/>
    <w:rPr>
      <w:rFonts w:ascii="Times New Roman" w:eastAsia="Calibri" w:hAnsi="Times New Roman" w:cs="Times New Roman"/>
      <w:sz w:val="24"/>
      <w:szCs w:val="24"/>
      <w:lang w:val="es-ES" w:eastAsia="es-ES"/>
    </w:rPr>
  </w:style>
  <w:style w:type="paragraph" w:customStyle="1" w:styleId="Prrafodelista1">
    <w:name w:val="Párrafo de lista1"/>
    <w:basedOn w:val="Normal"/>
    <w:rsid w:val="00FA3913"/>
    <w:pPr>
      <w:ind w:left="720"/>
      <w:contextualSpacing/>
    </w:pPr>
  </w:style>
  <w:style w:type="paragraph" w:styleId="Encabezado">
    <w:name w:val="header"/>
    <w:basedOn w:val="Normal"/>
    <w:link w:val="EncabezadoCar"/>
    <w:uiPriority w:val="99"/>
    <w:unhideWhenUsed/>
    <w:rsid w:val="006B32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32A9"/>
    <w:rPr>
      <w:rFonts w:ascii="Calibri" w:eastAsia="Times New Roman" w:hAnsi="Calibri" w:cs="Times New Roman"/>
      <w:lang w:val="es-ES"/>
    </w:rPr>
  </w:style>
  <w:style w:type="paragraph" w:styleId="Piedepgina">
    <w:name w:val="footer"/>
    <w:basedOn w:val="Normal"/>
    <w:link w:val="PiedepginaCar"/>
    <w:uiPriority w:val="99"/>
    <w:unhideWhenUsed/>
    <w:rsid w:val="006B32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2A9"/>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6B3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2A9"/>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4748">
      <w:bodyDiv w:val="1"/>
      <w:marLeft w:val="0"/>
      <w:marRight w:val="0"/>
      <w:marTop w:val="0"/>
      <w:marBottom w:val="0"/>
      <w:divBdr>
        <w:top w:val="none" w:sz="0" w:space="0" w:color="auto"/>
        <w:left w:val="none" w:sz="0" w:space="0" w:color="auto"/>
        <w:bottom w:val="none" w:sz="0" w:space="0" w:color="auto"/>
        <w:right w:val="none" w:sz="0" w:space="0" w:color="auto"/>
      </w:divBdr>
    </w:div>
    <w:div w:id="117403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3256</Words>
  <Characters>17914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I. Municipalidad de Cuenca</Company>
  <LinksUpToDate>false</LinksUpToDate>
  <CharactersWithSpaces>21128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Vanegas</dc:creator>
  <cp:lastModifiedBy>Valeria F. Sanchez</cp:lastModifiedBy>
  <cp:revision>2</cp:revision>
  <dcterms:created xsi:type="dcterms:W3CDTF">2011-12-08T20:55:00Z</dcterms:created>
  <dcterms:modified xsi:type="dcterms:W3CDTF">2011-12-08T20:55:00Z</dcterms:modified>
</cp:coreProperties>
</file>